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E1A91" w14:textId="798AACF7" w:rsidR="00E203C2" w:rsidRDefault="00E203C2" w:rsidP="00E203C2">
      <w:r>
        <w:rPr>
          <w:noProof/>
          <w:lang w:eastAsia="en-GB" w:bidi="ar-SA"/>
        </w:rPr>
        <w:drawing>
          <wp:inline distT="0" distB="0" distL="0" distR="0" wp14:anchorId="5775A748" wp14:editId="581A760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1E0DDD" w14:textId="77777777" w:rsidR="00E203C2" w:rsidRDefault="00E203C2" w:rsidP="00E203C2"/>
    <w:p w14:paraId="1429B23C" w14:textId="77777777" w:rsidR="00335079" w:rsidRPr="00335079" w:rsidRDefault="00335079" w:rsidP="00335079">
      <w:pPr>
        <w:widowControl/>
        <w:tabs>
          <w:tab w:val="left" w:pos="851"/>
        </w:tabs>
        <w:rPr>
          <w:b/>
          <w:sz w:val="28"/>
          <w:szCs w:val="28"/>
          <w:lang w:bidi="ar-SA"/>
        </w:rPr>
      </w:pPr>
      <w:r w:rsidRPr="00335079">
        <w:rPr>
          <w:b/>
          <w:sz w:val="28"/>
          <w:szCs w:val="28"/>
          <w:lang w:bidi="ar-SA"/>
        </w:rPr>
        <w:t>4 December 2015</w:t>
      </w:r>
    </w:p>
    <w:p w14:paraId="1EA75282" w14:textId="77777777" w:rsidR="00335079" w:rsidRPr="00335079" w:rsidRDefault="00335079" w:rsidP="00335079">
      <w:pPr>
        <w:widowControl/>
        <w:rPr>
          <w:b/>
          <w:sz w:val="28"/>
          <w:szCs w:val="28"/>
          <w:lang w:bidi="ar-SA"/>
        </w:rPr>
      </w:pPr>
      <w:r w:rsidRPr="00335079">
        <w:rPr>
          <w:b/>
          <w:sz w:val="28"/>
          <w:szCs w:val="28"/>
          <w:lang w:bidi="ar-SA"/>
        </w:rPr>
        <w:t>[30–15]</w:t>
      </w:r>
    </w:p>
    <w:p w14:paraId="432399F1" w14:textId="77777777" w:rsidR="00BA24E2" w:rsidRDefault="00BA24E2" w:rsidP="00E203C2"/>
    <w:p w14:paraId="47D57ED4" w14:textId="77777777" w:rsidR="00D056F1" w:rsidRPr="00AC015B"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AC015B">
        <w:rPr>
          <w:b/>
        </w:rPr>
        <w:t xml:space="preserve"> </w:t>
      </w:r>
      <w:r w:rsidR="00E203C2" w:rsidRPr="00AC015B">
        <w:rPr>
          <w:b/>
        </w:rPr>
        <w:t>P</w:t>
      </w:r>
      <w:r w:rsidR="00A91DF1" w:rsidRPr="00AC015B">
        <w:rPr>
          <w:b/>
        </w:rPr>
        <w:t>roposal</w:t>
      </w:r>
      <w:r w:rsidR="00D056F1" w:rsidRPr="00AC015B">
        <w:rPr>
          <w:b/>
        </w:rPr>
        <w:t xml:space="preserve"> </w:t>
      </w:r>
      <w:r w:rsidR="00E203C2" w:rsidRPr="00AC015B">
        <w:rPr>
          <w:b/>
        </w:rPr>
        <w:t>P</w:t>
      </w:r>
      <w:r w:rsidR="00723094" w:rsidRPr="00AC015B">
        <w:rPr>
          <w:b/>
        </w:rPr>
        <w:t>1024</w:t>
      </w:r>
    </w:p>
    <w:p w14:paraId="646F6168" w14:textId="77777777" w:rsidR="00E203C2" w:rsidRPr="00AC015B" w:rsidRDefault="00E203C2" w:rsidP="00E203C2"/>
    <w:p w14:paraId="1FF8BD2F" w14:textId="17360003" w:rsidR="00D056F1" w:rsidRPr="00AC015B" w:rsidRDefault="00723094" w:rsidP="002432EE">
      <w:pPr>
        <w:pStyle w:val="FSTitle"/>
      </w:pPr>
      <w:r w:rsidRPr="00AC015B">
        <w:t xml:space="preserve">Revision of the </w:t>
      </w:r>
      <w:r w:rsidR="00FA47B6">
        <w:t>R</w:t>
      </w:r>
      <w:r w:rsidRPr="00AC015B">
        <w:t xml:space="preserve">egulation of </w:t>
      </w:r>
      <w:r w:rsidR="00FA47B6">
        <w:t>N</w:t>
      </w:r>
      <w:r w:rsidRPr="00AC015B">
        <w:t xml:space="preserve">utritive </w:t>
      </w:r>
      <w:r w:rsidR="00FA47B6">
        <w:t>S</w:t>
      </w:r>
      <w:r w:rsidRPr="00AC015B">
        <w:t>ubstances</w:t>
      </w:r>
      <w:r w:rsidR="00335079">
        <w:t xml:space="preserve"> &amp; Novel Foods</w:t>
      </w:r>
    </w:p>
    <w:p w14:paraId="247E64DB" w14:textId="77777777" w:rsidR="00E203C2" w:rsidRPr="00E81F6E" w:rsidRDefault="00E203C2" w:rsidP="00E203C2">
      <w:pPr>
        <w:pBdr>
          <w:bottom w:val="single" w:sz="12" w:space="1" w:color="auto"/>
        </w:pBdr>
        <w:spacing w:line="280" w:lineRule="exact"/>
        <w:rPr>
          <w:rFonts w:cs="Arial"/>
          <w:bCs/>
        </w:rPr>
      </w:pPr>
    </w:p>
    <w:p w14:paraId="1FEFE28D" w14:textId="77777777" w:rsidR="00E203C2" w:rsidRPr="00E81F6E" w:rsidRDefault="00E203C2" w:rsidP="00E203C2"/>
    <w:p w14:paraId="50D30F84" w14:textId="77777777" w:rsidR="00BA24E2" w:rsidRPr="00AC015B" w:rsidRDefault="00BA24E2" w:rsidP="00BA24E2">
      <w:pPr>
        <w:rPr>
          <w:sz w:val="20"/>
          <w:szCs w:val="20"/>
        </w:rPr>
      </w:pPr>
      <w:r w:rsidRPr="00AC015B">
        <w:rPr>
          <w:sz w:val="20"/>
          <w:szCs w:val="20"/>
        </w:rPr>
        <w:t xml:space="preserve">FSANZ has assessed </w:t>
      </w:r>
      <w:r w:rsidR="00276026" w:rsidRPr="00AC015B">
        <w:rPr>
          <w:sz w:val="20"/>
          <w:szCs w:val="20"/>
        </w:rPr>
        <w:t xml:space="preserve">a Proposal </w:t>
      </w:r>
      <w:r w:rsidR="00723094" w:rsidRPr="00AC015B">
        <w:rPr>
          <w:sz w:val="20"/>
          <w:szCs w:val="20"/>
        </w:rPr>
        <w:t xml:space="preserve">to </w:t>
      </w:r>
      <w:r w:rsidR="003811DF" w:rsidRPr="00AC015B">
        <w:rPr>
          <w:sz w:val="20"/>
          <w:szCs w:val="20"/>
        </w:rPr>
        <w:t xml:space="preserve">investigate </w:t>
      </w:r>
      <w:r w:rsidR="000874F2">
        <w:rPr>
          <w:sz w:val="20"/>
          <w:szCs w:val="20"/>
        </w:rPr>
        <w:t>the regulation of</w:t>
      </w:r>
      <w:r w:rsidR="00723094" w:rsidRPr="00AC015B">
        <w:rPr>
          <w:sz w:val="20"/>
          <w:szCs w:val="20"/>
        </w:rPr>
        <w:t xml:space="preserve"> nutritive substances and novel foods</w:t>
      </w:r>
      <w:r w:rsidR="007D3479">
        <w:rPr>
          <w:sz w:val="20"/>
          <w:szCs w:val="20"/>
        </w:rPr>
        <w:t xml:space="preserve"> </w:t>
      </w:r>
      <w:r w:rsidR="00723094" w:rsidRPr="00AC015B">
        <w:rPr>
          <w:sz w:val="20"/>
          <w:szCs w:val="20"/>
        </w:rPr>
        <w:t>in the Australia New Zealand Food Standards Code</w:t>
      </w:r>
      <w:r w:rsidR="00AC015B">
        <w:rPr>
          <w:sz w:val="20"/>
          <w:szCs w:val="20"/>
        </w:rPr>
        <w:t>. Pursuant to section </w:t>
      </w:r>
      <w:r w:rsidRPr="00AC015B">
        <w:rPr>
          <w:sz w:val="20"/>
          <w:szCs w:val="20"/>
        </w:rPr>
        <w:t xml:space="preserve">72 of the </w:t>
      </w:r>
      <w:r w:rsidRPr="00AC015B">
        <w:rPr>
          <w:i/>
          <w:sz w:val="20"/>
          <w:szCs w:val="20"/>
        </w:rPr>
        <w:t xml:space="preserve">Food Standards Australia New Zealand Act 1991 </w:t>
      </w:r>
      <w:r w:rsidRPr="00AC015B">
        <w:rPr>
          <w:sz w:val="20"/>
          <w:szCs w:val="20"/>
        </w:rPr>
        <w:t>(FSANZ Act), FSANZ now calls for submissions to assist further consideration</w:t>
      </w:r>
      <w:r w:rsidR="00276026" w:rsidRPr="00AC015B">
        <w:rPr>
          <w:sz w:val="20"/>
          <w:szCs w:val="20"/>
        </w:rPr>
        <w:t xml:space="preserve"> of the Proposal</w:t>
      </w:r>
      <w:r w:rsidRPr="00AC015B">
        <w:rPr>
          <w:sz w:val="20"/>
          <w:szCs w:val="20"/>
        </w:rPr>
        <w:t>.</w:t>
      </w:r>
    </w:p>
    <w:p w14:paraId="4C07220E" w14:textId="77777777" w:rsidR="00413CA8" w:rsidRPr="007C174F" w:rsidRDefault="00413CA8" w:rsidP="00E203C2">
      <w:pPr>
        <w:rPr>
          <w:sz w:val="20"/>
          <w:szCs w:val="20"/>
        </w:rPr>
      </w:pPr>
    </w:p>
    <w:p w14:paraId="48B24A87"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AD22F9" w:rsidRPr="000D343C">
          <w:rPr>
            <w:rStyle w:val="Hyperlink"/>
            <w:sz w:val="20"/>
            <w:szCs w:val="20"/>
          </w:rPr>
          <w:t>information for submitters</w:t>
        </w:r>
      </w:hyperlink>
      <w:r w:rsidR="00351B07" w:rsidRPr="007C174F">
        <w:rPr>
          <w:sz w:val="20"/>
          <w:szCs w:val="20"/>
        </w:rPr>
        <w:t>.</w:t>
      </w:r>
    </w:p>
    <w:p w14:paraId="7AE1F5E8" w14:textId="77777777" w:rsidR="00D81D38" w:rsidRPr="00276026" w:rsidRDefault="00D81D38" w:rsidP="00276026">
      <w:pPr>
        <w:rPr>
          <w:sz w:val="20"/>
          <w:szCs w:val="20"/>
        </w:rPr>
      </w:pPr>
    </w:p>
    <w:p w14:paraId="49A3AF74" w14:textId="77777777" w:rsidR="00276026" w:rsidRPr="00276026" w:rsidRDefault="00276026" w:rsidP="00335079">
      <w:pPr>
        <w:ind w:right="-569"/>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78EDDD1" w14:textId="77777777" w:rsidR="00876515" w:rsidRPr="00276026" w:rsidRDefault="00876515" w:rsidP="00276026">
      <w:pPr>
        <w:rPr>
          <w:color w:val="000000"/>
          <w:sz w:val="20"/>
          <w:szCs w:val="20"/>
          <w:lang w:val="en-AU"/>
        </w:rPr>
      </w:pPr>
    </w:p>
    <w:p w14:paraId="2EE06B40"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6" w:history="1">
        <w:r w:rsidR="000D343C" w:rsidRPr="000D343C">
          <w:rPr>
            <w:rStyle w:val="Hyperlink"/>
            <w:sz w:val="20"/>
            <w:szCs w:val="20"/>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14:paraId="727F454C" w14:textId="77777777" w:rsidR="00E203C2" w:rsidRPr="00335079" w:rsidRDefault="00E203C2" w:rsidP="00E203C2">
      <w:pPr>
        <w:rPr>
          <w:color w:val="000000"/>
          <w:sz w:val="18"/>
          <w:szCs w:val="20"/>
          <w:lang w:val="en-AU"/>
        </w:rPr>
      </w:pPr>
    </w:p>
    <w:p w14:paraId="179266A7"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7"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678D9AD" w14:textId="77777777" w:rsidR="00E203C2" w:rsidRPr="007C174F" w:rsidRDefault="00E203C2" w:rsidP="00E203C2">
      <w:pPr>
        <w:rPr>
          <w:color w:val="000000"/>
          <w:sz w:val="20"/>
          <w:szCs w:val="20"/>
          <w:lang w:val="en-AU"/>
        </w:rPr>
      </w:pPr>
    </w:p>
    <w:p w14:paraId="4543A6DA"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F64CD57" w14:textId="77777777" w:rsidR="00E203C2" w:rsidRPr="00335079" w:rsidRDefault="00E203C2" w:rsidP="00E203C2">
      <w:pPr>
        <w:rPr>
          <w:color w:val="000000"/>
          <w:sz w:val="18"/>
          <w:lang w:val="en-AU"/>
        </w:rPr>
      </w:pPr>
    </w:p>
    <w:p w14:paraId="69265BC5" w14:textId="75151910" w:rsidR="00E063C6" w:rsidRPr="00335079" w:rsidRDefault="00D624C6" w:rsidP="00D624C6">
      <w:pPr>
        <w:tabs>
          <w:tab w:val="left" w:pos="7920"/>
        </w:tabs>
        <w:autoSpaceDE w:val="0"/>
        <w:autoSpaceDN w:val="0"/>
        <w:adjustRightInd w:val="0"/>
        <w:ind w:right="-286"/>
        <w:jc w:val="center"/>
        <w:rPr>
          <w:rFonts w:cs="Arial"/>
          <w:b/>
          <w:bCs/>
          <w:sz w:val="24"/>
        </w:rPr>
      </w:pPr>
      <w:r>
        <w:rPr>
          <w:rFonts w:cs="Arial"/>
          <w:b/>
          <w:bCs/>
          <w:color w:val="000000"/>
          <w:sz w:val="24"/>
        </w:rPr>
        <w:t xml:space="preserve">EXTENDED </w:t>
      </w:r>
      <w:r w:rsidR="00E063C6" w:rsidRPr="00FB1533">
        <w:rPr>
          <w:rFonts w:cs="Arial"/>
          <w:b/>
          <w:bCs/>
          <w:color w:val="000000"/>
          <w:sz w:val="24"/>
        </w:rPr>
        <w:t>DEADLINE FOR SUBMISSIONS</w:t>
      </w:r>
      <w:r w:rsidR="00E063C6" w:rsidRPr="00FB1533">
        <w:rPr>
          <w:rFonts w:cs="Arial"/>
          <w:b/>
          <w:color w:val="000000"/>
          <w:sz w:val="24"/>
        </w:rPr>
        <w:t>:</w:t>
      </w:r>
      <w:r w:rsidR="00E063C6" w:rsidRPr="00FB1533">
        <w:rPr>
          <w:rFonts w:cs="Arial"/>
          <w:b/>
          <w:sz w:val="24"/>
        </w:rPr>
        <w:t xml:space="preserve">  </w:t>
      </w:r>
      <w:r w:rsidR="00E063C6" w:rsidRPr="00FB1533">
        <w:rPr>
          <w:rFonts w:cs="Arial"/>
          <w:b/>
          <w:bCs/>
          <w:sz w:val="24"/>
        </w:rPr>
        <w:t>6pm (Canberra time</w:t>
      </w:r>
      <w:r w:rsidR="00E063C6" w:rsidRPr="00335079">
        <w:rPr>
          <w:rFonts w:cs="Arial"/>
          <w:b/>
          <w:bCs/>
          <w:sz w:val="24"/>
        </w:rPr>
        <w:t xml:space="preserve">) </w:t>
      </w:r>
      <w:r>
        <w:rPr>
          <w:rFonts w:cs="Arial"/>
          <w:b/>
          <w:bCs/>
          <w:sz w:val="24"/>
        </w:rPr>
        <w:t>2</w:t>
      </w:r>
      <w:r w:rsidR="001473E4">
        <w:rPr>
          <w:rFonts w:cs="Arial"/>
          <w:b/>
          <w:bCs/>
          <w:sz w:val="24"/>
        </w:rPr>
        <w:t xml:space="preserve">4 March </w:t>
      </w:r>
      <w:bookmarkStart w:id="0" w:name="_GoBack"/>
      <w:bookmarkEnd w:id="0"/>
      <w:r w:rsidR="00335079" w:rsidRPr="00335079">
        <w:rPr>
          <w:rFonts w:cs="Arial"/>
          <w:b/>
          <w:bCs/>
          <w:sz w:val="24"/>
        </w:rPr>
        <w:t>2016</w:t>
      </w:r>
    </w:p>
    <w:p w14:paraId="7F9B743F" w14:textId="77777777" w:rsidR="00E203C2" w:rsidRPr="00335079" w:rsidRDefault="00E203C2" w:rsidP="00E203C2">
      <w:pPr>
        <w:rPr>
          <w:sz w:val="18"/>
          <w:szCs w:val="20"/>
          <w:lang w:val="en-AU"/>
        </w:rPr>
      </w:pPr>
    </w:p>
    <w:p w14:paraId="09C7935F" w14:textId="77777777" w:rsidR="00E063C6" w:rsidRPr="007C174F" w:rsidRDefault="00E063C6" w:rsidP="00335079">
      <w:pPr>
        <w:ind w:right="-569"/>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86D4800" w14:textId="77777777" w:rsidR="00E203C2" w:rsidRPr="00335079" w:rsidRDefault="00E203C2" w:rsidP="00E203C2">
      <w:pPr>
        <w:rPr>
          <w:sz w:val="18"/>
          <w:szCs w:val="20"/>
          <w:lang w:val="en-AU"/>
        </w:rPr>
      </w:pPr>
    </w:p>
    <w:p w14:paraId="23701373"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DA6E863" w14:textId="77777777" w:rsidR="00E203C2" w:rsidRPr="00335079" w:rsidRDefault="00E203C2" w:rsidP="00E063C6">
      <w:pPr>
        <w:autoSpaceDE w:val="0"/>
        <w:autoSpaceDN w:val="0"/>
        <w:adjustRightInd w:val="0"/>
        <w:spacing w:line="280" w:lineRule="exact"/>
        <w:rPr>
          <w:rFonts w:cs="Arial"/>
          <w:color w:val="000000"/>
          <w:sz w:val="18"/>
          <w:szCs w:val="20"/>
          <w:lang w:val="en-AU"/>
        </w:rPr>
      </w:pPr>
    </w:p>
    <w:p w14:paraId="272DEDFD"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80FDC74" w14:textId="77777777" w:rsidR="00E203C2" w:rsidRPr="007C174F" w:rsidRDefault="00E203C2" w:rsidP="00E203C2">
      <w:pPr>
        <w:rPr>
          <w:sz w:val="20"/>
          <w:szCs w:val="20"/>
          <w:lang w:val="en-AU"/>
        </w:rPr>
      </w:pPr>
    </w:p>
    <w:p w14:paraId="038903F1"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A68F810"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68014A89"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149569FA"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6C736687" w14:textId="77777777" w:rsidR="00335079" w:rsidRDefault="00E063C6" w:rsidP="00335079">
      <w:pPr>
        <w:tabs>
          <w:tab w:val="left" w:pos="4536"/>
        </w:tabs>
        <w:rPr>
          <w:sz w:val="20"/>
          <w:szCs w:val="20"/>
        </w:rPr>
        <w:sectPr w:rsidR="00335079" w:rsidSect="00335079">
          <w:headerReference w:type="default" r:id="rId20"/>
          <w:footerReference w:type="default" r:id="rId21"/>
          <w:type w:val="continuous"/>
          <w:pgSz w:w="11906" w:h="16838"/>
          <w:pgMar w:top="1418" w:right="1418" w:bottom="1418" w:left="1418" w:header="709" w:footer="709" w:gutter="0"/>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1F9301FC" w14:textId="6B566527" w:rsidR="00562917" w:rsidRPr="00E40ED4" w:rsidRDefault="00562917" w:rsidP="00335079">
      <w:pPr>
        <w:tabs>
          <w:tab w:val="left" w:pos="4536"/>
        </w:tabs>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14:paraId="65BFEC99" w14:textId="77777777" w:rsidR="00562917" w:rsidRPr="00AE766D" w:rsidRDefault="00562917" w:rsidP="00051ED9">
      <w:pPr>
        <w:rPr>
          <w:rFonts w:cs="Arial"/>
        </w:rPr>
      </w:pPr>
    </w:p>
    <w:p w14:paraId="4E35E679" w14:textId="77777777" w:rsidR="00136C48" w:rsidRDefault="00051ED9">
      <w:pPr>
        <w:pStyle w:val="TOC1"/>
        <w:rPr>
          <w:rFonts w:eastAsiaTheme="minorEastAsia" w:cstheme="minorBidi"/>
          <w:b w:val="0"/>
          <w:bCs w:val="0"/>
          <w:caps w:val="0"/>
          <w:noProof/>
          <w:sz w:val="22"/>
          <w:szCs w:val="22"/>
          <w:lang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436754802" w:history="1">
        <w:r w:rsidR="00136C48" w:rsidRPr="008537B5">
          <w:rPr>
            <w:rStyle w:val="Hyperlink"/>
            <w:noProof/>
          </w:rPr>
          <w:t>Executive summary</w:t>
        </w:r>
        <w:r w:rsidR="00136C48">
          <w:rPr>
            <w:noProof/>
            <w:webHidden/>
          </w:rPr>
          <w:tab/>
        </w:r>
        <w:r w:rsidR="00136C48">
          <w:rPr>
            <w:noProof/>
            <w:webHidden/>
          </w:rPr>
          <w:fldChar w:fldCharType="begin"/>
        </w:r>
        <w:r w:rsidR="00136C48">
          <w:rPr>
            <w:noProof/>
            <w:webHidden/>
          </w:rPr>
          <w:instrText xml:space="preserve"> PAGEREF _Toc436754802 \h </w:instrText>
        </w:r>
        <w:r w:rsidR="00136C48">
          <w:rPr>
            <w:noProof/>
            <w:webHidden/>
          </w:rPr>
        </w:r>
        <w:r w:rsidR="00136C48">
          <w:rPr>
            <w:noProof/>
            <w:webHidden/>
          </w:rPr>
          <w:fldChar w:fldCharType="separate"/>
        </w:r>
        <w:r w:rsidR="006E5547">
          <w:rPr>
            <w:noProof/>
            <w:webHidden/>
          </w:rPr>
          <w:t>4</w:t>
        </w:r>
        <w:r w:rsidR="00136C48">
          <w:rPr>
            <w:noProof/>
            <w:webHidden/>
          </w:rPr>
          <w:fldChar w:fldCharType="end"/>
        </w:r>
      </w:hyperlink>
    </w:p>
    <w:p w14:paraId="04D79065" w14:textId="77777777" w:rsidR="00136C48" w:rsidRDefault="006E5547">
      <w:pPr>
        <w:pStyle w:val="TOC1"/>
        <w:rPr>
          <w:rFonts w:eastAsiaTheme="minorEastAsia" w:cstheme="minorBidi"/>
          <w:b w:val="0"/>
          <w:bCs w:val="0"/>
          <w:caps w:val="0"/>
          <w:noProof/>
          <w:sz w:val="22"/>
          <w:szCs w:val="22"/>
          <w:lang w:eastAsia="en-GB" w:bidi="ar-SA"/>
        </w:rPr>
      </w:pPr>
      <w:hyperlink w:anchor="_Toc436754803" w:history="1">
        <w:r w:rsidR="00136C48" w:rsidRPr="008537B5">
          <w:rPr>
            <w:rStyle w:val="Hyperlink"/>
            <w:noProof/>
          </w:rPr>
          <w:t>1</w:t>
        </w:r>
        <w:r w:rsidR="00136C48">
          <w:rPr>
            <w:rFonts w:eastAsiaTheme="minorEastAsia" w:cstheme="minorBidi"/>
            <w:b w:val="0"/>
            <w:bCs w:val="0"/>
            <w:caps w:val="0"/>
            <w:noProof/>
            <w:sz w:val="22"/>
            <w:szCs w:val="22"/>
            <w:lang w:eastAsia="en-GB" w:bidi="ar-SA"/>
          </w:rPr>
          <w:tab/>
        </w:r>
        <w:r w:rsidR="00136C48" w:rsidRPr="008537B5">
          <w:rPr>
            <w:rStyle w:val="Hyperlink"/>
            <w:noProof/>
          </w:rPr>
          <w:t>Introduction</w:t>
        </w:r>
        <w:r w:rsidR="00136C48">
          <w:rPr>
            <w:noProof/>
            <w:webHidden/>
          </w:rPr>
          <w:tab/>
        </w:r>
        <w:r w:rsidR="00136C48">
          <w:rPr>
            <w:noProof/>
            <w:webHidden/>
          </w:rPr>
          <w:fldChar w:fldCharType="begin"/>
        </w:r>
        <w:r w:rsidR="00136C48">
          <w:rPr>
            <w:noProof/>
            <w:webHidden/>
          </w:rPr>
          <w:instrText xml:space="preserve"> PAGEREF _Toc436754803 \h </w:instrText>
        </w:r>
        <w:r w:rsidR="00136C48">
          <w:rPr>
            <w:noProof/>
            <w:webHidden/>
          </w:rPr>
        </w:r>
        <w:r w:rsidR="00136C48">
          <w:rPr>
            <w:noProof/>
            <w:webHidden/>
          </w:rPr>
          <w:fldChar w:fldCharType="separate"/>
        </w:r>
        <w:r>
          <w:rPr>
            <w:noProof/>
            <w:webHidden/>
          </w:rPr>
          <w:t>5</w:t>
        </w:r>
        <w:r w:rsidR="00136C48">
          <w:rPr>
            <w:noProof/>
            <w:webHidden/>
          </w:rPr>
          <w:fldChar w:fldCharType="end"/>
        </w:r>
      </w:hyperlink>
    </w:p>
    <w:p w14:paraId="5CCB1D66"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04" w:history="1">
        <w:r w:rsidR="00136C48" w:rsidRPr="008537B5">
          <w:rPr>
            <w:rStyle w:val="Hyperlink"/>
            <w:noProof/>
          </w:rPr>
          <w:t>1.1</w:t>
        </w:r>
        <w:r w:rsidR="00136C48">
          <w:rPr>
            <w:rFonts w:eastAsiaTheme="minorEastAsia" w:cstheme="minorBidi"/>
            <w:smallCaps w:val="0"/>
            <w:noProof/>
            <w:sz w:val="22"/>
            <w:szCs w:val="22"/>
            <w:lang w:eastAsia="en-GB" w:bidi="ar-SA"/>
          </w:rPr>
          <w:tab/>
        </w:r>
        <w:r w:rsidR="00136C48" w:rsidRPr="008537B5">
          <w:rPr>
            <w:rStyle w:val="Hyperlink"/>
            <w:noProof/>
          </w:rPr>
          <w:t>The Proposal</w:t>
        </w:r>
        <w:r w:rsidR="00136C48">
          <w:rPr>
            <w:noProof/>
            <w:webHidden/>
          </w:rPr>
          <w:tab/>
        </w:r>
        <w:r w:rsidR="00136C48">
          <w:rPr>
            <w:noProof/>
            <w:webHidden/>
          </w:rPr>
          <w:fldChar w:fldCharType="begin"/>
        </w:r>
        <w:r w:rsidR="00136C48">
          <w:rPr>
            <w:noProof/>
            <w:webHidden/>
          </w:rPr>
          <w:instrText xml:space="preserve"> PAGEREF _Toc436754804 \h </w:instrText>
        </w:r>
        <w:r w:rsidR="00136C48">
          <w:rPr>
            <w:noProof/>
            <w:webHidden/>
          </w:rPr>
        </w:r>
        <w:r w:rsidR="00136C48">
          <w:rPr>
            <w:noProof/>
            <w:webHidden/>
          </w:rPr>
          <w:fldChar w:fldCharType="separate"/>
        </w:r>
        <w:r>
          <w:rPr>
            <w:noProof/>
            <w:webHidden/>
          </w:rPr>
          <w:t>5</w:t>
        </w:r>
        <w:r w:rsidR="00136C48">
          <w:rPr>
            <w:noProof/>
            <w:webHidden/>
          </w:rPr>
          <w:fldChar w:fldCharType="end"/>
        </w:r>
      </w:hyperlink>
    </w:p>
    <w:p w14:paraId="7733C06C"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05" w:history="1">
        <w:r w:rsidR="00136C48" w:rsidRPr="008537B5">
          <w:rPr>
            <w:rStyle w:val="Hyperlink"/>
            <w:noProof/>
          </w:rPr>
          <w:t>1.2</w:t>
        </w:r>
        <w:r w:rsidR="00136C48">
          <w:rPr>
            <w:rFonts w:eastAsiaTheme="minorEastAsia" w:cstheme="minorBidi"/>
            <w:smallCaps w:val="0"/>
            <w:noProof/>
            <w:sz w:val="22"/>
            <w:szCs w:val="22"/>
            <w:lang w:eastAsia="en-GB" w:bidi="ar-SA"/>
          </w:rPr>
          <w:tab/>
        </w:r>
        <w:r w:rsidR="00136C48" w:rsidRPr="008537B5">
          <w:rPr>
            <w:rStyle w:val="Hyperlink"/>
            <w:noProof/>
          </w:rPr>
          <w:t>The current regulatory framework</w:t>
        </w:r>
        <w:r w:rsidR="00136C48">
          <w:rPr>
            <w:noProof/>
            <w:webHidden/>
          </w:rPr>
          <w:tab/>
        </w:r>
        <w:r w:rsidR="00136C48">
          <w:rPr>
            <w:noProof/>
            <w:webHidden/>
          </w:rPr>
          <w:fldChar w:fldCharType="begin"/>
        </w:r>
        <w:r w:rsidR="00136C48">
          <w:rPr>
            <w:noProof/>
            <w:webHidden/>
          </w:rPr>
          <w:instrText xml:space="preserve"> PAGEREF _Toc436754805 \h </w:instrText>
        </w:r>
        <w:r w:rsidR="00136C48">
          <w:rPr>
            <w:noProof/>
            <w:webHidden/>
          </w:rPr>
        </w:r>
        <w:r w:rsidR="00136C48">
          <w:rPr>
            <w:noProof/>
            <w:webHidden/>
          </w:rPr>
          <w:fldChar w:fldCharType="separate"/>
        </w:r>
        <w:r>
          <w:rPr>
            <w:noProof/>
            <w:webHidden/>
          </w:rPr>
          <w:t>6</w:t>
        </w:r>
        <w:r w:rsidR="00136C48">
          <w:rPr>
            <w:noProof/>
            <w:webHidden/>
          </w:rPr>
          <w:fldChar w:fldCharType="end"/>
        </w:r>
      </w:hyperlink>
    </w:p>
    <w:p w14:paraId="1769DE6E"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06" w:history="1">
        <w:r w:rsidR="00136C48" w:rsidRPr="008537B5">
          <w:rPr>
            <w:rStyle w:val="Hyperlink"/>
            <w:noProof/>
          </w:rPr>
          <w:t>1.2.1</w:t>
        </w:r>
        <w:r w:rsidR="00136C48">
          <w:rPr>
            <w:rFonts w:eastAsiaTheme="minorEastAsia" w:cstheme="minorBidi"/>
            <w:i w:val="0"/>
            <w:iCs w:val="0"/>
            <w:noProof/>
            <w:sz w:val="22"/>
            <w:szCs w:val="22"/>
            <w:lang w:eastAsia="en-GB" w:bidi="ar-SA"/>
          </w:rPr>
          <w:tab/>
        </w:r>
        <w:r w:rsidR="00136C48" w:rsidRPr="008537B5">
          <w:rPr>
            <w:rStyle w:val="Hyperlink"/>
            <w:noProof/>
          </w:rPr>
          <w:t>The Code provisions</w:t>
        </w:r>
        <w:r w:rsidR="00136C48">
          <w:rPr>
            <w:noProof/>
            <w:webHidden/>
          </w:rPr>
          <w:tab/>
        </w:r>
        <w:r w:rsidR="00136C48">
          <w:rPr>
            <w:noProof/>
            <w:webHidden/>
          </w:rPr>
          <w:fldChar w:fldCharType="begin"/>
        </w:r>
        <w:r w:rsidR="00136C48">
          <w:rPr>
            <w:noProof/>
            <w:webHidden/>
          </w:rPr>
          <w:instrText xml:space="preserve"> PAGEREF _Toc436754806 \h </w:instrText>
        </w:r>
        <w:r w:rsidR="00136C48">
          <w:rPr>
            <w:noProof/>
            <w:webHidden/>
          </w:rPr>
        </w:r>
        <w:r w:rsidR="00136C48">
          <w:rPr>
            <w:noProof/>
            <w:webHidden/>
          </w:rPr>
          <w:fldChar w:fldCharType="separate"/>
        </w:r>
        <w:r>
          <w:rPr>
            <w:noProof/>
            <w:webHidden/>
          </w:rPr>
          <w:t>6</w:t>
        </w:r>
        <w:r w:rsidR="00136C48">
          <w:rPr>
            <w:noProof/>
            <w:webHidden/>
          </w:rPr>
          <w:fldChar w:fldCharType="end"/>
        </w:r>
      </w:hyperlink>
    </w:p>
    <w:p w14:paraId="5386EAB7"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07" w:history="1">
        <w:r w:rsidR="00136C48" w:rsidRPr="008537B5">
          <w:rPr>
            <w:rStyle w:val="Hyperlink"/>
            <w:noProof/>
          </w:rPr>
          <w:t>1.3</w:t>
        </w:r>
        <w:r w:rsidR="00136C48">
          <w:rPr>
            <w:rFonts w:eastAsiaTheme="minorEastAsia" w:cstheme="minorBidi"/>
            <w:smallCaps w:val="0"/>
            <w:noProof/>
            <w:sz w:val="22"/>
            <w:szCs w:val="22"/>
            <w:lang w:eastAsia="en-GB" w:bidi="ar-SA"/>
          </w:rPr>
          <w:tab/>
        </w:r>
        <w:r w:rsidR="00136C48" w:rsidRPr="008537B5">
          <w:rPr>
            <w:rStyle w:val="Hyperlink"/>
            <w:noProof/>
          </w:rPr>
          <w:t>Rationale for the current framework</w:t>
        </w:r>
        <w:r w:rsidR="00136C48">
          <w:rPr>
            <w:noProof/>
            <w:webHidden/>
          </w:rPr>
          <w:tab/>
        </w:r>
        <w:r w:rsidR="00136C48">
          <w:rPr>
            <w:noProof/>
            <w:webHidden/>
          </w:rPr>
          <w:fldChar w:fldCharType="begin"/>
        </w:r>
        <w:r w:rsidR="00136C48">
          <w:rPr>
            <w:noProof/>
            <w:webHidden/>
          </w:rPr>
          <w:instrText xml:space="preserve"> PAGEREF _Toc436754807 \h </w:instrText>
        </w:r>
        <w:r w:rsidR="00136C48">
          <w:rPr>
            <w:noProof/>
            <w:webHidden/>
          </w:rPr>
        </w:r>
        <w:r w:rsidR="00136C48">
          <w:rPr>
            <w:noProof/>
            <w:webHidden/>
          </w:rPr>
          <w:fldChar w:fldCharType="separate"/>
        </w:r>
        <w:r>
          <w:rPr>
            <w:noProof/>
            <w:webHidden/>
          </w:rPr>
          <w:t>7</w:t>
        </w:r>
        <w:r w:rsidR="00136C48">
          <w:rPr>
            <w:noProof/>
            <w:webHidden/>
          </w:rPr>
          <w:fldChar w:fldCharType="end"/>
        </w:r>
      </w:hyperlink>
    </w:p>
    <w:p w14:paraId="79E756A1"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08" w:history="1">
        <w:r w:rsidR="00136C48" w:rsidRPr="008537B5">
          <w:rPr>
            <w:rStyle w:val="Hyperlink"/>
            <w:noProof/>
          </w:rPr>
          <w:t>1.4</w:t>
        </w:r>
        <w:r w:rsidR="00136C48">
          <w:rPr>
            <w:rFonts w:eastAsiaTheme="minorEastAsia" w:cstheme="minorBidi"/>
            <w:smallCaps w:val="0"/>
            <w:noProof/>
            <w:sz w:val="22"/>
            <w:szCs w:val="22"/>
            <w:lang w:eastAsia="en-GB" w:bidi="ar-SA"/>
          </w:rPr>
          <w:tab/>
        </w:r>
        <w:r w:rsidR="00136C48" w:rsidRPr="008537B5">
          <w:rPr>
            <w:rStyle w:val="Hyperlink"/>
            <w:noProof/>
          </w:rPr>
          <w:t>Procedure for assessment</w:t>
        </w:r>
        <w:r w:rsidR="00136C48">
          <w:rPr>
            <w:noProof/>
            <w:webHidden/>
          </w:rPr>
          <w:tab/>
        </w:r>
        <w:r w:rsidR="00136C48">
          <w:rPr>
            <w:noProof/>
            <w:webHidden/>
          </w:rPr>
          <w:fldChar w:fldCharType="begin"/>
        </w:r>
        <w:r w:rsidR="00136C48">
          <w:rPr>
            <w:noProof/>
            <w:webHidden/>
          </w:rPr>
          <w:instrText xml:space="preserve"> PAGEREF _Toc436754808 \h </w:instrText>
        </w:r>
        <w:r w:rsidR="00136C48">
          <w:rPr>
            <w:noProof/>
            <w:webHidden/>
          </w:rPr>
        </w:r>
        <w:r w:rsidR="00136C48">
          <w:rPr>
            <w:noProof/>
            <w:webHidden/>
          </w:rPr>
          <w:fldChar w:fldCharType="separate"/>
        </w:r>
        <w:r>
          <w:rPr>
            <w:noProof/>
            <w:webHidden/>
          </w:rPr>
          <w:t>8</w:t>
        </w:r>
        <w:r w:rsidR="00136C48">
          <w:rPr>
            <w:noProof/>
            <w:webHidden/>
          </w:rPr>
          <w:fldChar w:fldCharType="end"/>
        </w:r>
      </w:hyperlink>
    </w:p>
    <w:p w14:paraId="3AF34AC3" w14:textId="77777777" w:rsidR="00136C48" w:rsidRDefault="006E5547">
      <w:pPr>
        <w:pStyle w:val="TOC1"/>
        <w:rPr>
          <w:rFonts w:eastAsiaTheme="minorEastAsia" w:cstheme="minorBidi"/>
          <w:b w:val="0"/>
          <w:bCs w:val="0"/>
          <w:caps w:val="0"/>
          <w:noProof/>
          <w:sz w:val="22"/>
          <w:szCs w:val="22"/>
          <w:lang w:eastAsia="en-GB" w:bidi="ar-SA"/>
        </w:rPr>
      </w:pPr>
      <w:hyperlink w:anchor="_Toc436754809" w:history="1">
        <w:r w:rsidR="00136C48" w:rsidRPr="008537B5">
          <w:rPr>
            <w:rStyle w:val="Hyperlink"/>
            <w:noProof/>
          </w:rPr>
          <w:t>2</w:t>
        </w:r>
        <w:r w:rsidR="00136C48">
          <w:rPr>
            <w:rFonts w:eastAsiaTheme="minorEastAsia" w:cstheme="minorBidi"/>
            <w:b w:val="0"/>
            <w:bCs w:val="0"/>
            <w:caps w:val="0"/>
            <w:noProof/>
            <w:sz w:val="22"/>
            <w:szCs w:val="22"/>
            <w:lang w:eastAsia="en-GB" w:bidi="ar-SA"/>
          </w:rPr>
          <w:tab/>
        </w:r>
        <w:r w:rsidR="00136C48" w:rsidRPr="008537B5">
          <w:rPr>
            <w:rStyle w:val="Hyperlink"/>
            <w:noProof/>
          </w:rPr>
          <w:t>The problems with the current Code provisions</w:t>
        </w:r>
        <w:r w:rsidR="00136C48">
          <w:rPr>
            <w:noProof/>
            <w:webHidden/>
          </w:rPr>
          <w:tab/>
        </w:r>
        <w:r w:rsidR="00136C48">
          <w:rPr>
            <w:noProof/>
            <w:webHidden/>
          </w:rPr>
          <w:fldChar w:fldCharType="begin"/>
        </w:r>
        <w:r w:rsidR="00136C48">
          <w:rPr>
            <w:noProof/>
            <w:webHidden/>
          </w:rPr>
          <w:instrText xml:space="preserve"> PAGEREF _Toc436754809 \h </w:instrText>
        </w:r>
        <w:r w:rsidR="00136C48">
          <w:rPr>
            <w:noProof/>
            <w:webHidden/>
          </w:rPr>
        </w:r>
        <w:r w:rsidR="00136C48">
          <w:rPr>
            <w:noProof/>
            <w:webHidden/>
          </w:rPr>
          <w:fldChar w:fldCharType="separate"/>
        </w:r>
        <w:r>
          <w:rPr>
            <w:noProof/>
            <w:webHidden/>
          </w:rPr>
          <w:t>8</w:t>
        </w:r>
        <w:r w:rsidR="00136C48">
          <w:rPr>
            <w:noProof/>
            <w:webHidden/>
          </w:rPr>
          <w:fldChar w:fldCharType="end"/>
        </w:r>
      </w:hyperlink>
    </w:p>
    <w:p w14:paraId="2287E073"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0" w:history="1">
        <w:r w:rsidR="00136C48" w:rsidRPr="008537B5">
          <w:rPr>
            <w:rStyle w:val="Hyperlink"/>
            <w:noProof/>
          </w:rPr>
          <w:t>2.1</w:t>
        </w:r>
        <w:r w:rsidR="00136C48">
          <w:rPr>
            <w:rFonts w:eastAsiaTheme="minorEastAsia" w:cstheme="minorBidi"/>
            <w:smallCaps w:val="0"/>
            <w:noProof/>
            <w:sz w:val="22"/>
            <w:szCs w:val="22"/>
            <w:lang w:eastAsia="en-GB" w:bidi="ar-SA"/>
          </w:rPr>
          <w:tab/>
        </w:r>
        <w:r w:rsidR="00136C48" w:rsidRPr="008537B5">
          <w:rPr>
            <w:rStyle w:val="Hyperlink"/>
            <w:noProof/>
          </w:rPr>
          <w:t>Used as a nutritive substance</w:t>
        </w:r>
        <w:r w:rsidR="00136C48">
          <w:rPr>
            <w:noProof/>
            <w:webHidden/>
          </w:rPr>
          <w:tab/>
        </w:r>
        <w:r w:rsidR="00136C48">
          <w:rPr>
            <w:noProof/>
            <w:webHidden/>
          </w:rPr>
          <w:fldChar w:fldCharType="begin"/>
        </w:r>
        <w:r w:rsidR="00136C48">
          <w:rPr>
            <w:noProof/>
            <w:webHidden/>
          </w:rPr>
          <w:instrText xml:space="preserve"> PAGEREF _Toc436754810 \h </w:instrText>
        </w:r>
        <w:r w:rsidR="00136C48">
          <w:rPr>
            <w:noProof/>
            <w:webHidden/>
          </w:rPr>
        </w:r>
        <w:r w:rsidR="00136C48">
          <w:rPr>
            <w:noProof/>
            <w:webHidden/>
          </w:rPr>
          <w:fldChar w:fldCharType="separate"/>
        </w:r>
        <w:r>
          <w:rPr>
            <w:noProof/>
            <w:webHidden/>
          </w:rPr>
          <w:t>8</w:t>
        </w:r>
        <w:r w:rsidR="00136C48">
          <w:rPr>
            <w:noProof/>
            <w:webHidden/>
          </w:rPr>
          <w:fldChar w:fldCharType="end"/>
        </w:r>
      </w:hyperlink>
    </w:p>
    <w:p w14:paraId="51BA6BCD"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1" w:history="1">
        <w:r w:rsidR="00136C48" w:rsidRPr="008537B5">
          <w:rPr>
            <w:rStyle w:val="Hyperlink"/>
            <w:noProof/>
          </w:rPr>
          <w:t>2.2</w:t>
        </w:r>
        <w:r w:rsidR="00136C48">
          <w:rPr>
            <w:rFonts w:eastAsiaTheme="minorEastAsia" w:cstheme="minorBidi"/>
            <w:smallCaps w:val="0"/>
            <w:noProof/>
            <w:sz w:val="22"/>
            <w:szCs w:val="22"/>
            <w:lang w:eastAsia="en-GB" w:bidi="ar-SA"/>
          </w:rPr>
          <w:tab/>
        </w:r>
        <w:r w:rsidR="00136C48" w:rsidRPr="008537B5">
          <w:rPr>
            <w:rStyle w:val="Hyperlink"/>
            <w:noProof/>
          </w:rPr>
          <w:t>Novel foods</w:t>
        </w:r>
        <w:r w:rsidR="00136C48">
          <w:rPr>
            <w:noProof/>
            <w:webHidden/>
          </w:rPr>
          <w:tab/>
        </w:r>
        <w:r w:rsidR="00136C48">
          <w:rPr>
            <w:noProof/>
            <w:webHidden/>
          </w:rPr>
          <w:fldChar w:fldCharType="begin"/>
        </w:r>
        <w:r w:rsidR="00136C48">
          <w:rPr>
            <w:noProof/>
            <w:webHidden/>
          </w:rPr>
          <w:instrText xml:space="preserve"> PAGEREF _Toc436754811 \h </w:instrText>
        </w:r>
        <w:r w:rsidR="00136C48">
          <w:rPr>
            <w:noProof/>
            <w:webHidden/>
          </w:rPr>
        </w:r>
        <w:r w:rsidR="00136C48">
          <w:rPr>
            <w:noProof/>
            <w:webHidden/>
          </w:rPr>
          <w:fldChar w:fldCharType="separate"/>
        </w:r>
        <w:r>
          <w:rPr>
            <w:noProof/>
            <w:webHidden/>
          </w:rPr>
          <w:t>9</w:t>
        </w:r>
        <w:r w:rsidR="00136C48">
          <w:rPr>
            <w:noProof/>
            <w:webHidden/>
          </w:rPr>
          <w:fldChar w:fldCharType="end"/>
        </w:r>
      </w:hyperlink>
    </w:p>
    <w:p w14:paraId="77C67102"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2" w:history="1">
        <w:r w:rsidR="00136C48" w:rsidRPr="008537B5">
          <w:rPr>
            <w:rStyle w:val="Hyperlink"/>
            <w:noProof/>
          </w:rPr>
          <w:t>2.3</w:t>
        </w:r>
        <w:r w:rsidR="00136C48">
          <w:rPr>
            <w:rFonts w:eastAsiaTheme="minorEastAsia" w:cstheme="minorBidi"/>
            <w:smallCaps w:val="0"/>
            <w:noProof/>
            <w:sz w:val="22"/>
            <w:szCs w:val="22"/>
            <w:lang w:eastAsia="en-GB" w:bidi="ar-SA"/>
          </w:rPr>
          <w:tab/>
        </w:r>
        <w:r w:rsidR="00136C48" w:rsidRPr="008537B5">
          <w:rPr>
            <w:rStyle w:val="Hyperlink"/>
            <w:noProof/>
          </w:rPr>
          <w:t>Definitional overlap</w:t>
        </w:r>
        <w:r w:rsidR="00136C48">
          <w:rPr>
            <w:noProof/>
            <w:webHidden/>
          </w:rPr>
          <w:tab/>
        </w:r>
        <w:r w:rsidR="00136C48">
          <w:rPr>
            <w:noProof/>
            <w:webHidden/>
          </w:rPr>
          <w:fldChar w:fldCharType="begin"/>
        </w:r>
        <w:r w:rsidR="00136C48">
          <w:rPr>
            <w:noProof/>
            <w:webHidden/>
          </w:rPr>
          <w:instrText xml:space="preserve"> PAGEREF _Toc436754812 \h </w:instrText>
        </w:r>
        <w:r w:rsidR="00136C48">
          <w:rPr>
            <w:noProof/>
            <w:webHidden/>
          </w:rPr>
        </w:r>
        <w:r w:rsidR="00136C48">
          <w:rPr>
            <w:noProof/>
            <w:webHidden/>
          </w:rPr>
          <w:fldChar w:fldCharType="separate"/>
        </w:r>
        <w:r>
          <w:rPr>
            <w:noProof/>
            <w:webHidden/>
          </w:rPr>
          <w:t>10</w:t>
        </w:r>
        <w:r w:rsidR="00136C48">
          <w:rPr>
            <w:noProof/>
            <w:webHidden/>
          </w:rPr>
          <w:fldChar w:fldCharType="end"/>
        </w:r>
      </w:hyperlink>
    </w:p>
    <w:p w14:paraId="12EA5C41" w14:textId="77777777" w:rsidR="00136C48" w:rsidRDefault="006E5547">
      <w:pPr>
        <w:pStyle w:val="TOC1"/>
        <w:rPr>
          <w:rFonts w:eastAsiaTheme="minorEastAsia" w:cstheme="minorBidi"/>
          <w:b w:val="0"/>
          <w:bCs w:val="0"/>
          <w:caps w:val="0"/>
          <w:noProof/>
          <w:sz w:val="22"/>
          <w:szCs w:val="22"/>
          <w:lang w:eastAsia="en-GB" w:bidi="ar-SA"/>
        </w:rPr>
      </w:pPr>
      <w:hyperlink w:anchor="_Toc436754813" w:history="1">
        <w:r w:rsidR="00136C48" w:rsidRPr="008537B5">
          <w:rPr>
            <w:rStyle w:val="Hyperlink"/>
            <w:noProof/>
          </w:rPr>
          <w:t>3</w:t>
        </w:r>
        <w:r w:rsidR="00136C48">
          <w:rPr>
            <w:rFonts w:eastAsiaTheme="minorEastAsia" w:cstheme="minorBidi"/>
            <w:b w:val="0"/>
            <w:bCs w:val="0"/>
            <w:caps w:val="0"/>
            <w:noProof/>
            <w:sz w:val="22"/>
            <w:szCs w:val="22"/>
            <w:lang w:eastAsia="en-GB" w:bidi="ar-SA"/>
          </w:rPr>
          <w:tab/>
        </w:r>
        <w:r w:rsidR="00136C48" w:rsidRPr="008537B5">
          <w:rPr>
            <w:rStyle w:val="Hyperlink"/>
            <w:noProof/>
          </w:rPr>
          <w:t>Risk Assessment</w:t>
        </w:r>
        <w:r w:rsidR="00136C48">
          <w:rPr>
            <w:noProof/>
            <w:webHidden/>
          </w:rPr>
          <w:tab/>
        </w:r>
        <w:r w:rsidR="00136C48">
          <w:rPr>
            <w:noProof/>
            <w:webHidden/>
          </w:rPr>
          <w:fldChar w:fldCharType="begin"/>
        </w:r>
        <w:r w:rsidR="00136C48">
          <w:rPr>
            <w:noProof/>
            <w:webHidden/>
          </w:rPr>
          <w:instrText xml:space="preserve"> PAGEREF _Toc436754813 \h </w:instrText>
        </w:r>
        <w:r w:rsidR="00136C48">
          <w:rPr>
            <w:noProof/>
            <w:webHidden/>
          </w:rPr>
        </w:r>
        <w:r w:rsidR="00136C48">
          <w:rPr>
            <w:noProof/>
            <w:webHidden/>
          </w:rPr>
          <w:fldChar w:fldCharType="separate"/>
        </w:r>
        <w:r>
          <w:rPr>
            <w:noProof/>
            <w:webHidden/>
          </w:rPr>
          <w:t>10</w:t>
        </w:r>
        <w:r w:rsidR="00136C48">
          <w:rPr>
            <w:noProof/>
            <w:webHidden/>
          </w:rPr>
          <w:fldChar w:fldCharType="end"/>
        </w:r>
      </w:hyperlink>
    </w:p>
    <w:p w14:paraId="43E1ED20"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4" w:history="1">
        <w:r w:rsidR="00136C48" w:rsidRPr="008537B5">
          <w:rPr>
            <w:rStyle w:val="Hyperlink"/>
            <w:noProof/>
          </w:rPr>
          <w:t>3.1</w:t>
        </w:r>
        <w:r w:rsidR="00136C48">
          <w:rPr>
            <w:rFonts w:eastAsiaTheme="minorEastAsia" w:cstheme="minorBidi"/>
            <w:smallCaps w:val="0"/>
            <w:noProof/>
            <w:sz w:val="22"/>
            <w:szCs w:val="22"/>
            <w:lang w:eastAsia="en-GB" w:bidi="ar-SA"/>
          </w:rPr>
          <w:tab/>
        </w:r>
        <w:r w:rsidR="00136C48" w:rsidRPr="008537B5">
          <w:rPr>
            <w:rStyle w:val="Hyperlink"/>
            <w:noProof/>
          </w:rPr>
          <w:t>Food enforcement agencies</w:t>
        </w:r>
        <w:r w:rsidR="00136C48">
          <w:rPr>
            <w:noProof/>
            <w:webHidden/>
          </w:rPr>
          <w:tab/>
        </w:r>
        <w:r w:rsidR="00136C48">
          <w:rPr>
            <w:noProof/>
            <w:webHidden/>
          </w:rPr>
          <w:fldChar w:fldCharType="begin"/>
        </w:r>
        <w:r w:rsidR="00136C48">
          <w:rPr>
            <w:noProof/>
            <w:webHidden/>
          </w:rPr>
          <w:instrText xml:space="preserve"> PAGEREF _Toc436754814 \h </w:instrText>
        </w:r>
        <w:r w:rsidR="00136C48">
          <w:rPr>
            <w:noProof/>
            <w:webHidden/>
          </w:rPr>
        </w:r>
        <w:r w:rsidR="00136C48">
          <w:rPr>
            <w:noProof/>
            <w:webHidden/>
          </w:rPr>
          <w:fldChar w:fldCharType="separate"/>
        </w:r>
        <w:r>
          <w:rPr>
            <w:noProof/>
            <w:webHidden/>
          </w:rPr>
          <w:t>10</w:t>
        </w:r>
        <w:r w:rsidR="00136C48">
          <w:rPr>
            <w:noProof/>
            <w:webHidden/>
          </w:rPr>
          <w:fldChar w:fldCharType="end"/>
        </w:r>
      </w:hyperlink>
    </w:p>
    <w:p w14:paraId="4D52B15A"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5" w:history="1">
        <w:r w:rsidR="00136C48" w:rsidRPr="008537B5">
          <w:rPr>
            <w:rStyle w:val="Hyperlink"/>
            <w:noProof/>
          </w:rPr>
          <w:t>3.2</w:t>
        </w:r>
        <w:r w:rsidR="00136C48">
          <w:rPr>
            <w:rFonts w:eastAsiaTheme="minorEastAsia" w:cstheme="minorBidi"/>
            <w:smallCaps w:val="0"/>
            <w:noProof/>
            <w:sz w:val="22"/>
            <w:szCs w:val="22"/>
            <w:lang w:eastAsia="en-GB" w:bidi="ar-SA"/>
          </w:rPr>
          <w:tab/>
        </w:r>
        <w:r w:rsidR="00136C48" w:rsidRPr="008537B5">
          <w:rPr>
            <w:rStyle w:val="Hyperlink"/>
            <w:noProof/>
          </w:rPr>
          <w:t>Food industry</w:t>
        </w:r>
        <w:r w:rsidR="00136C48">
          <w:rPr>
            <w:noProof/>
            <w:webHidden/>
          </w:rPr>
          <w:tab/>
        </w:r>
        <w:r w:rsidR="00136C48">
          <w:rPr>
            <w:noProof/>
            <w:webHidden/>
          </w:rPr>
          <w:fldChar w:fldCharType="begin"/>
        </w:r>
        <w:r w:rsidR="00136C48">
          <w:rPr>
            <w:noProof/>
            <w:webHidden/>
          </w:rPr>
          <w:instrText xml:space="preserve"> PAGEREF _Toc436754815 \h </w:instrText>
        </w:r>
        <w:r w:rsidR="00136C48">
          <w:rPr>
            <w:noProof/>
            <w:webHidden/>
          </w:rPr>
        </w:r>
        <w:r w:rsidR="00136C48">
          <w:rPr>
            <w:noProof/>
            <w:webHidden/>
          </w:rPr>
          <w:fldChar w:fldCharType="separate"/>
        </w:r>
        <w:r>
          <w:rPr>
            <w:noProof/>
            <w:webHidden/>
          </w:rPr>
          <w:t>11</w:t>
        </w:r>
        <w:r w:rsidR="00136C48">
          <w:rPr>
            <w:noProof/>
            <w:webHidden/>
          </w:rPr>
          <w:fldChar w:fldCharType="end"/>
        </w:r>
      </w:hyperlink>
    </w:p>
    <w:p w14:paraId="786AA388"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6" w:history="1">
        <w:r w:rsidR="00136C48" w:rsidRPr="008537B5">
          <w:rPr>
            <w:rStyle w:val="Hyperlink"/>
            <w:noProof/>
          </w:rPr>
          <w:t>3.3</w:t>
        </w:r>
        <w:r w:rsidR="00136C48">
          <w:rPr>
            <w:rFonts w:eastAsiaTheme="minorEastAsia" w:cstheme="minorBidi"/>
            <w:smallCaps w:val="0"/>
            <w:noProof/>
            <w:sz w:val="22"/>
            <w:szCs w:val="22"/>
            <w:lang w:eastAsia="en-GB" w:bidi="ar-SA"/>
          </w:rPr>
          <w:tab/>
        </w:r>
        <w:r w:rsidR="00136C48" w:rsidRPr="008537B5">
          <w:rPr>
            <w:rStyle w:val="Hyperlink"/>
            <w:noProof/>
          </w:rPr>
          <w:t>Summary of risk assessment</w:t>
        </w:r>
        <w:r w:rsidR="00136C48">
          <w:rPr>
            <w:noProof/>
            <w:webHidden/>
          </w:rPr>
          <w:tab/>
        </w:r>
        <w:r w:rsidR="00136C48">
          <w:rPr>
            <w:noProof/>
            <w:webHidden/>
          </w:rPr>
          <w:fldChar w:fldCharType="begin"/>
        </w:r>
        <w:r w:rsidR="00136C48">
          <w:rPr>
            <w:noProof/>
            <w:webHidden/>
          </w:rPr>
          <w:instrText xml:space="preserve"> PAGEREF _Toc436754816 \h </w:instrText>
        </w:r>
        <w:r w:rsidR="00136C48">
          <w:rPr>
            <w:noProof/>
            <w:webHidden/>
          </w:rPr>
        </w:r>
        <w:r w:rsidR="00136C48">
          <w:rPr>
            <w:noProof/>
            <w:webHidden/>
          </w:rPr>
          <w:fldChar w:fldCharType="separate"/>
        </w:r>
        <w:r>
          <w:rPr>
            <w:noProof/>
            <w:webHidden/>
          </w:rPr>
          <w:t>12</w:t>
        </w:r>
        <w:r w:rsidR="00136C48">
          <w:rPr>
            <w:noProof/>
            <w:webHidden/>
          </w:rPr>
          <w:fldChar w:fldCharType="end"/>
        </w:r>
      </w:hyperlink>
    </w:p>
    <w:p w14:paraId="2E109071" w14:textId="77777777" w:rsidR="00136C48" w:rsidRDefault="006E5547">
      <w:pPr>
        <w:pStyle w:val="TOC1"/>
        <w:rPr>
          <w:rFonts w:eastAsiaTheme="minorEastAsia" w:cstheme="minorBidi"/>
          <w:b w:val="0"/>
          <w:bCs w:val="0"/>
          <w:caps w:val="0"/>
          <w:noProof/>
          <w:sz w:val="22"/>
          <w:szCs w:val="22"/>
          <w:lang w:eastAsia="en-GB" w:bidi="ar-SA"/>
        </w:rPr>
      </w:pPr>
      <w:hyperlink w:anchor="_Toc436754817" w:history="1">
        <w:r w:rsidR="00136C48" w:rsidRPr="008537B5">
          <w:rPr>
            <w:rStyle w:val="Hyperlink"/>
            <w:noProof/>
          </w:rPr>
          <w:t>4</w:t>
        </w:r>
        <w:r w:rsidR="00136C48">
          <w:rPr>
            <w:rFonts w:eastAsiaTheme="minorEastAsia" w:cstheme="minorBidi"/>
            <w:b w:val="0"/>
            <w:bCs w:val="0"/>
            <w:caps w:val="0"/>
            <w:noProof/>
            <w:sz w:val="22"/>
            <w:szCs w:val="22"/>
            <w:lang w:eastAsia="en-GB" w:bidi="ar-SA"/>
          </w:rPr>
          <w:tab/>
        </w:r>
        <w:r w:rsidR="00136C48" w:rsidRPr="008537B5">
          <w:rPr>
            <w:rStyle w:val="Hyperlink"/>
            <w:noProof/>
          </w:rPr>
          <w:t>Risk Management</w:t>
        </w:r>
        <w:r w:rsidR="00136C48">
          <w:rPr>
            <w:noProof/>
            <w:webHidden/>
          </w:rPr>
          <w:tab/>
        </w:r>
        <w:r w:rsidR="00136C48">
          <w:rPr>
            <w:noProof/>
            <w:webHidden/>
          </w:rPr>
          <w:fldChar w:fldCharType="begin"/>
        </w:r>
        <w:r w:rsidR="00136C48">
          <w:rPr>
            <w:noProof/>
            <w:webHidden/>
          </w:rPr>
          <w:instrText xml:space="preserve"> PAGEREF _Toc436754817 \h </w:instrText>
        </w:r>
        <w:r w:rsidR="00136C48">
          <w:rPr>
            <w:noProof/>
            <w:webHidden/>
          </w:rPr>
        </w:r>
        <w:r w:rsidR="00136C48">
          <w:rPr>
            <w:noProof/>
            <w:webHidden/>
          </w:rPr>
          <w:fldChar w:fldCharType="separate"/>
        </w:r>
        <w:r>
          <w:rPr>
            <w:noProof/>
            <w:webHidden/>
          </w:rPr>
          <w:t>12</w:t>
        </w:r>
        <w:r w:rsidR="00136C48">
          <w:rPr>
            <w:noProof/>
            <w:webHidden/>
          </w:rPr>
          <w:fldChar w:fldCharType="end"/>
        </w:r>
      </w:hyperlink>
    </w:p>
    <w:p w14:paraId="4C821871"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18" w:history="1">
        <w:r w:rsidR="00136C48" w:rsidRPr="008537B5">
          <w:rPr>
            <w:rStyle w:val="Hyperlink"/>
            <w:noProof/>
          </w:rPr>
          <w:t>4.1</w:t>
        </w:r>
        <w:r w:rsidR="00136C48">
          <w:rPr>
            <w:rFonts w:eastAsiaTheme="minorEastAsia" w:cstheme="minorBidi"/>
            <w:smallCaps w:val="0"/>
            <w:noProof/>
            <w:sz w:val="22"/>
            <w:szCs w:val="22"/>
            <w:lang w:eastAsia="en-GB" w:bidi="ar-SA"/>
          </w:rPr>
          <w:tab/>
        </w:r>
        <w:r w:rsidR="00136C48" w:rsidRPr="008537B5">
          <w:rPr>
            <w:rStyle w:val="Hyperlink"/>
            <w:noProof/>
          </w:rPr>
          <w:t>Risk management considerations</w:t>
        </w:r>
        <w:r w:rsidR="00136C48">
          <w:rPr>
            <w:noProof/>
            <w:webHidden/>
          </w:rPr>
          <w:tab/>
        </w:r>
        <w:r w:rsidR="00136C48">
          <w:rPr>
            <w:noProof/>
            <w:webHidden/>
          </w:rPr>
          <w:fldChar w:fldCharType="begin"/>
        </w:r>
        <w:r w:rsidR="00136C48">
          <w:rPr>
            <w:noProof/>
            <w:webHidden/>
          </w:rPr>
          <w:instrText xml:space="preserve"> PAGEREF _Toc436754818 \h </w:instrText>
        </w:r>
        <w:r w:rsidR="00136C48">
          <w:rPr>
            <w:noProof/>
            <w:webHidden/>
          </w:rPr>
        </w:r>
        <w:r w:rsidR="00136C48">
          <w:rPr>
            <w:noProof/>
            <w:webHidden/>
          </w:rPr>
          <w:fldChar w:fldCharType="separate"/>
        </w:r>
        <w:r>
          <w:rPr>
            <w:noProof/>
            <w:webHidden/>
          </w:rPr>
          <w:t>12</w:t>
        </w:r>
        <w:r w:rsidR="00136C48">
          <w:rPr>
            <w:noProof/>
            <w:webHidden/>
          </w:rPr>
          <w:fldChar w:fldCharType="end"/>
        </w:r>
      </w:hyperlink>
    </w:p>
    <w:p w14:paraId="35F07547"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19" w:history="1">
        <w:r w:rsidR="00136C48" w:rsidRPr="008537B5">
          <w:rPr>
            <w:rStyle w:val="Hyperlink"/>
            <w:noProof/>
          </w:rPr>
          <w:t>4.1.1</w:t>
        </w:r>
        <w:r w:rsidR="00136C48">
          <w:rPr>
            <w:rFonts w:eastAsiaTheme="minorEastAsia" w:cstheme="minorBidi"/>
            <w:i w:val="0"/>
            <w:iCs w:val="0"/>
            <w:noProof/>
            <w:sz w:val="22"/>
            <w:szCs w:val="22"/>
            <w:lang w:eastAsia="en-GB" w:bidi="ar-SA"/>
          </w:rPr>
          <w:tab/>
        </w:r>
        <w:r w:rsidR="00136C48" w:rsidRPr="008537B5">
          <w:rPr>
            <w:rStyle w:val="Hyperlink"/>
            <w:noProof/>
          </w:rPr>
          <w:t>Post-market versus pre-market approach</w:t>
        </w:r>
        <w:r w:rsidR="00136C48">
          <w:rPr>
            <w:noProof/>
            <w:webHidden/>
          </w:rPr>
          <w:tab/>
        </w:r>
        <w:r w:rsidR="00136C48">
          <w:rPr>
            <w:noProof/>
            <w:webHidden/>
          </w:rPr>
          <w:fldChar w:fldCharType="begin"/>
        </w:r>
        <w:r w:rsidR="00136C48">
          <w:rPr>
            <w:noProof/>
            <w:webHidden/>
          </w:rPr>
          <w:instrText xml:space="preserve"> PAGEREF _Toc436754819 \h </w:instrText>
        </w:r>
        <w:r w:rsidR="00136C48">
          <w:rPr>
            <w:noProof/>
            <w:webHidden/>
          </w:rPr>
        </w:r>
        <w:r w:rsidR="00136C48">
          <w:rPr>
            <w:noProof/>
            <w:webHidden/>
          </w:rPr>
          <w:fldChar w:fldCharType="separate"/>
        </w:r>
        <w:r>
          <w:rPr>
            <w:noProof/>
            <w:webHidden/>
          </w:rPr>
          <w:t>13</w:t>
        </w:r>
        <w:r w:rsidR="00136C48">
          <w:rPr>
            <w:noProof/>
            <w:webHidden/>
          </w:rPr>
          <w:fldChar w:fldCharType="end"/>
        </w:r>
      </w:hyperlink>
    </w:p>
    <w:p w14:paraId="64CFF08B"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20" w:history="1">
        <w:r w:rsidR="00136C48" w:rsidRPr="008537B5">
          <w:rPr>
            <w:rStyle w:val="Hyperlink"/>
            <w:noProof/>
          </w:rPr>
          <w:t>4.1.2</w:t>
        </w:r>
        <w:r w:rsidR="00136C48">
          <w:rPr>
            <w:rFonts w:eastAsiaTheme="minorEastAsia" w:cstheme="minorBidi"/>
            <w:i w:val="0"/>
            <w:iCs w:val="0"/>
            <w:noProof/>
            <w:sz w:val="22"/>
            <w:szCs w:val="22"/>
            <w:lang w:eastAsia="en-GB" w:bidi="ar-SA"/>
          </w:rPr>
          <w:tab/>
        </w:r>
        <w:r w:rsidR="00136C48" w:rsidRPr="008537B5">
          <w:rPr>
            <w:rStyle w:val="Hyperlink"/>
            <w:noProof/>
          </w:rPr>
          <w:t>International regulation of new foods</w:t>
        </w:r>
        <w:r w:rsidR="00136C48">
          <w:rPr>
            <w:noProof/>
            <w:webHidden/>
          </w:rPr>
          <w:tab/>
        </w:r>
        <w:r w:rsidR="00136C48">
          <w:rPr>
            <w:noProof/>
            <w:webHidden/>
          </w:rPr>
          <w:fldChar w:fldCharType="begin"/>
        </w:r>
        <w:r w:rsidR="00136C48">
          <w:rPr>
            <w:noProof/>
            <w:webHidden/>
          </w:rPr>
          <w:instrText xml:space="preserve"> PAGEREF _Toc436754820 \h </w:instrText>
        </w:r>
        <w:r w:rsidR="00136C48">
          <w:rPr>
            <w:noProof/>
            <w:webHidden/>
          </w:rPr>
        </w:r>
        <w:r w:rsidR="00136C48">
          <w:rPr>
            <w:noProof/>
            <w:webHidden/>
          </w:rPr>
          <w:fldChar w:fldCharType="separate"/>
        </w:r>
        <w:r>
          <w:rPr>
            <w:noProof/>
            <w:webHidden/>
          </w:rPr>
          <w:t>13</w:t>
        </w:r>
        <w:r w:rsidR="00136C48">
          <w:rPr>
            <w:noProof/>
            <w:webHidden/>
          </w:rPr>
          <w:fldChar w:fldCharType="end"/>
        </w:r>
      </w:hyperlink>
    </w:p>
    <w:p w14:paraId="184BF6D7"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21" w:history="1">
        <w:r w:rsidR="00136C48" w:rsidRPr="008537B5">
          <w:rPr>
            <w:rStyle w:val="Hyperlink"/>
            <w:noProof/>
          </w:rPr>
          <w:t>4.1.3</w:t>
        </w:r>
        <w:r w:rsidR="00136C48">
          <w:rPr>
            <w:rFonts w:eastAsiaTheme="minorEastAsia" w:cstheme="minorBidi"/>
            <w:i w:val="0"/>
            <w:iCs w:val="0"/>
            <w:noProof/>
            <w:sz w:val="22"/>
            <w:szCs w:val="22"/>
            <w:lang w:eastAsia="en-GB" w:bidi="ar-SA"/>
          </w:rPr>
          <w:tab/>
        </w:r>
        <w:r w:rsidR="00136C48" w:rsidRPr="008537B5">
          <w:rPr>
            <w:rStyle w:val="Hyperlink"/>
            <w:noProof/>
          </w:rPr>
          <w:t>Self-assessment and pre-approval pathways</w:t>
        </w:r>
        <w:r w:rsidR="00136C48">
          <w:rPr>
            <w:noProof/>
            <w:webHidden/>
          </w:rPr>
          <w:tab/>
        </w:r>
        <w:r w:rsidR="00136C48">
          <w:rPr>
            <w:noProof/>
            <w:webHidden/>
          </w:rPr>
          <w:fldChar w:fldCharType="begin"/>
        </w:r>
        <w:r w:rsidR="00136C48">
          <w:rPr>
            <w:noProof/>
            <w:webHidden/>
          </w:rPr>
          <w:instrText xml:space="preserve"> PAGEREF _Toc436754821 \h </w:instrText>
        </w:r>
        <w:r w:rsidR="00136C48">
          <w:rPr>
            <w:noProof/>
            <w:webHidden/>
          </w:rPr>
        </w:r>
        <w:r w:rsidR="00136C48">
          <w:rPr>
            <w:noProof/>
            <w:webHidden/>
          </w:rPr>
          <w:fldChar w:fldCharType="separate"/>
        </w:r>
        <w:r>
          <w:rPr>
            <w:noProof/>
            <w:webHidden/>
          </w:rPr>
          <w:t>14</w:t>
        </w:r>
        <w:r w:rsidR="00136C48">
          <w:rPr>
            <w:noProof/>
            <w:webHidden/>
          </w:rPr>
          <w:fldChar w:fldCharType="end"/>
        </w:r>
      </w:hyperlink>
    </w:p>
    <w:p w14:paraId="354950A0"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22" w:history="1">
        <w:r w:rsidR="00136C48" w:rsidRPr="008537B5">
          <w:rPr>
            <w:rStyle w:val="Hyperlink"/>
            <w:noProof/>
          </w:rPr>
          <w:t>4.1.4</w:t>
        </w:r>
        <w:r w:rsidR="00136C48">
          <w:rPr>
            <w:rFonts w:eastAsiaTheme="minorEastAsia" w:cstheme="minorBidi"/>
            <w:i w:val="0"/>
            <w:iCs w:val="0"/>
            <w:noProof/>
            <w:sz w:val="22"/>
            <w:szCs w:val="22"/>
            <w:lang w:eastAsia="en-GB" w:bidi="ar-SA"/>
          </w:rPr>
          <w:tab/>
        </w:r>
        <w:r w:rsidR="00136C48" w:rsidRPr="008537B5">
          <w:rPr>
            <w:rStyle w:val="Hyperlink"/>
            <w:noProof/>
          </w:rPr>
          <w:t>Ministerial policy guidance</w:t>
        </w:r>
        <w:r w:rsidR="00136C48">
          <w:rPr>
            <w:noProof/>
            <w:webHidden/>
          </w:rPr>
          <w:tab/>
        </w:r>
        <w:r w:rsidR="00136C48">
          <w:rPr>
            <w:noProof/>
            <w:webHidden/>
          </w:rPr>
          <w:fldChar w:fldCharType="begin"/>
        </w:r>
        <w:r w:rsidR="00136C48">
          <w:rPr>
            <w:noProof/>
            <w:webHidden/>
          </w:rPr>
          <w:instrText xml:space="preserve"> PAGEREF _Toc436754822 \h </w:instrText>
        </w:r>
        <w:r w:rsidR="00136C48">
          <w:rPr>
            <w:noProof/>
            <w:webHidden/>
          </w:rPr>
        </w:r>
        <w:r w:rsidR="00136C48">
          <w:rPr>
            <w:noProof/>
            <w:webHidden/>
          </w:rPr>
          <w:fldChar w:fldCharType="separate"/>
        </w:r>
        <w:r>
          <w:rPr>
            <w:noProof/>
            <w:webHidden/>
          </w:rPr>
          <w:t>14</w:t>
        </w:r>
        <w:r w:rsidR="00136C48">
          <w:rPr>
            <w:noProof/>
            <w:webHidden/>
          </w:rPr>
          <w:fldChar w:fldCharType="end"/>
        </w:r>
      </w:hyperlink>
    </w:p>
    <w:p w14:paraId="58A6DEA5"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23" w:history="1">
        <w:r w:rsidR="00136C48" w:rsidRPr="008537B5">
          <w:rPr>
            <w:rStyle w:val="Hyperlink"/>
            <w:noProof/>
          </w:rPr>
          <w:t>4.2</w:t>
        </w:r>
        <w:r w:rsidR="00136C48">
          <w:rPr>
            <w:rFonts w:eastAsiaTheme="minorEastAsia" w:cstheme="minorBidi"/>
            <w:smallCaps w:val="0"/>
            <w:noProof/>
            <w:sz w:val="22"/>
            <w:szCs w:val="22"/>
            <w:lang w:eastAsia="en-GB" w:bidi="ar-SA"/>
          </w:rPr>
          <w:tab/>
        </w:r>
        <w:r w:rsidR="00136C48" w:rsidRPr="008537B5">
          <w:rPr>
            <w:rStyle w:val="Hyperlink"/>
            <w:noProof/>
          </w:rPr>
          <w:t>Options</w:t>
        </w:r>
        <w:r w:rsidR="00136C48">
          <w:rPr>
            <w:noProof/>
            <w:webHidden/>
          </w:rPr>
          <w:tab/>
        </w:r>
        <w:r w:rsidR="00136C48">
          <w:rPr>
            <w:noProof/>
            <w:webHidden/>
          </w:rPr>
          <w:fldChar w:fldCharType="begin"/>
        </w:r>
        <w:r w:rsidR="00136C48">
          <w:rPr>
            <w:noProof/>
            <w:webHidden/>
          </w:rPr>
          <w:instrText xml:space="preserve"> PAGEREF _Toc436754823 \h </w:instrText>
        </w:r>
        <w:r w:rsidR="00136C48">
          <w:rPr>
            <w:noProof/>
            <w:webHidden/>
          </w:rPr>
        </w:r>
        <w:r w:rsidR="00136C48">
          <w:rPr>
            <w:noProof/>
            <w:webHidden/>
          </w:rPr>
          <w:fldChar w:fldCharType="separate"/>
        </w:r>
        <w:r>
          <w:rPr>
            <w:noProof/>
            <w:webHidden/>
          </w:rPr>
          <w:t>15</w:t>
        </w:r>
        <w:r w:rsidR="00136C48">
          <w:rPr>
            <w:noProof/>
            <w:webHidden/>
          </w:rPr>
          <w:fldChar w:fldCharType="end"/>
        </w:r>
      </w:hyperlink>
    </w:p>
    <w:p w14:paraId="14B83596"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24" w:history="1">
        <w:r w:rsidR="00136C48" w:rsidRPr="008537B5">
          <w:rPr>
            <w:rStyle w:val="Hyperlink"/>
            <w:noProof/>
          </w:rPr>
          <w:t>4.2.1</w:t>
        </w:r>
        <w:r w:rsidR="00136C48">
          <w:rPr>
            <w:rFonts w:eastAsiaTheme="minorEastAsia" w:cstheme="minorBidi"/>
            <w:i w:val="0"/>
            <w:iCs w:val="0"/>
            <w:noProof/>
            <w:sz w:val="22"/>
            <w:szCs w:val="22"/>
            <w:lang w:eastAsia="en-GB" w:bidi="ar-SA"/>
          </w:rPr>
          <w:tab/>
        </w:r>
        <w:r w:rsidR="00136C48" w:rsidRPr="008537B5">
          <w:rPr>
            <w:rStyle w:val="Hyperlink"/>
            <w:noProof/>
          </w:rPr>
          <w:t>Option 1: Status quo</w:t>
        </w:r>
        <w:r w:rsidR="00136C48">
          <w:rPr>
            <w:noProof/>
            <w:webHidden/>
          </w:rPr>
          <w:tab/>
        </w:r>
        <w:r w:rsidR="00136C48">
          <w:rPr>
            <w:noProof/>
            <w:webHidden/>
          </w:rPr>
          <w:fldChar w:fldCharType="begin"/>
        </w:r>
        <w:r w:rsidR="00136C48">
          <w:rPr>
            <w:noProof/>
            <w:webHidden/>
          </w:rPr>
          <w:instrText xml:space="preserve"> PAGEREF _Toc436754824 \h </w:instrText>
        </w:r>
        <w:r w:rsidR="00136C48">
          <w:rPr>
            <w:noProof/>
            <w:webHidden/>
          </w:rPr>
        </w:r>
        <w:r w:rsidR="00136C48">
          <w:rPr>
            <w:noProof/>
            <w:webHidden/>
          </w:rPr>
          <w:fldChar w:fldCharType="separate"/>
        </w:r>
        <w:r>
          <w:rPr>
            <w:noProof/>
            <w:webHidden/>
          </w:rPr>
          <w:t>15</w:t>
        </w:r>
        <w:r w:rsidR="00136C48">
          <w:rPr>
            <w:noProof/>
            <w:webHidden/>
          </w:rPr>
          <w:fldChar w:fldCharType="end"/>
        </w:r>
      </w:hyperlink>
    </w:p>
    <w:p w14:paraId="79EC8691"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25" w:history="1">
        <w:r w:rsidR="00136C48" w:rsidRPr="008537B5">
          <w:rPr>
            <w:rStyle w:val="Hyperlink"/>
            <w:noProof/>
          </w:rPr>
          <w:t>4.2.2</w:t>
        </w:r>
        <w:r w:rsidR="00136C48">
          <w:rPr>
            <w:rFonts w:eastAsiaTheme="minorEastAsia" w:cstheme="minorBidi"/>
            <w:i w:val="0"/>
            <w:iCs w:val="0"/>
            <w:noProof/>
            <w:sz w:val="22"/>
            <w:szCs w:val="22"/>
            <w:lang w:eastAsia="en-GB" w:bidi="ar-SA"/>
          </w:rPr>
          <w:tab/>
        </w:r>
        <w:r w:rsidR="00136C48" w:rsidRPr="008537B5">
          <w:rPr>
            <w:rStyle w:val="Hyperlink"/>
            <w:noProof/>
          </w:rPr>
          <w:t>Option 2: Amend the current definitions</w:t>
        </w:r>
        <w:r w:rsidR="00136C48">
          <w:rPr>
            <w:noProof/>
            <w:webHidden/>
          </w:rPr>
          <w:tab/>
        </w:r>
        <w:r w:rsidR="00136C48">
          <w:rPr>
            <w:noProof/>
            <w:webHidden/>
          </w:rPr>
          <w:fldChar w:fldCharType="begin"/>
        </w:r>
        <w:r w:rsidR="00136C48">
          <w:rPr>
            <w:noProof/>
            <w:webHidden/>
          </w:rPr>
          <w:instrText xml:space="preserve"> PAGEREF _Toc436754825 \h </w:instrText>
        </w:r>
        <w:r w:rsidR="00136C48">
          <w:rPr>
            <w:noProof/>
            <w:webHidden/>
          </w:rPr>
        </w:r>
        <w:r w:rsidR="00136C48">
          <w:rPr>
            <w:noProof/>
            <w:webHidden/>
          </w:rPr>
          <w:fldChar w:fldCharType="separate"/>
        </w:r>
        <w:r>
          <w:rPr>
            <w:noProof/>
            <w:webHidden/>
          </w:rPr>
          <w:t>15</w:t>
        </w:r>
        <w:r w:rsidR="00136C48">
          <w:rPr>
            <w:noProof/>
            <w:webHidden/>
          </w:rPr>
          <w:fldChar w:fldCharType="end"/>
        </w:r>
      </w:hyperlink>
    </w:p>
    <w:p w14:paraId="01F36908"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26" w:history="1">
        <w:r w:rsidR="00136C48" w:rsidRPr="008537B5">
          <w:rPr>
            <w:rStyle w:val="Hyperlink"/>
            <w:noProof/>
          </w:rPr>
          <w:t>4.2.3</w:t>
        </w:r>
        <w:r w:rsidR="00136C48">
          <w:rPr>
            <w:rFonts w:eastAsiaTheme="minorEastAsia" w:cstheme="minorBidi"/>
            <w:i w:val="0"/>
            <w:iCs w:val="0"/>
            <w:noProof/>
            <w:sz w:val="22"/>
            <w:szCs w:val="22"/>
            <w:lang w:eastAsia="en-GB" w:bidi="ar-SA"/>
          </w:rPr>
          <w:tab/>
        </w:r>
        <w:r w:rsidR="00136C48" w:rsidRPr="008537B5">
          <w:rPr>
            <w:rStyle w:val="Hyperlink"/>
            <w:noProof/>
          </w:rPr>
          <w:t>Option 3: Develop an alternative framework</w:t>
        </w:r>
        <w:r w:rsidR="00136C48">
          <w:rPr>
            <w:noProof/>
            <w:webHidden/>
          </w:rPr>
          <w:tab/>
        </w:r>
        <w:r w:rsidR="00136C48">
          <w:rPr>
            <w:noProof/>
            <w:webHidden/>
          </w:rPr>
          <w:fldChar w:fldCharType="begin"/>
        </w:r>
        <w:r w:rsidR="00136C48">
          <w:rPr>
            <w:noProof/>
            <w:webHidden/>
          </w:rPr>
          <w:instrText xml:space="preserve"> PAGEREF _Toc436754826 \h </w:instrText>
        </w:r>
        <w:r w:rsidR="00136C48">
          <w:rPr>
            <w:noProof/>
            <w:webHidden/>
          </w:rPr>
        </w:r>
        <w:r w:rsidR="00136C48">
          <w:rPr>
            <w:noProof/>
            <w:webHidden/>
          </w:rPr>
          <w:fldChar w:fldCharType="separate"/>
        </w:r>
        <w:r>
          <w:rPr>
            <w:noProof/>
            <w:webHidden/>
          </w:rPr>
          <w:t>17</w:t>
        </w:r>
        <w:r w:rsidR="00136C48">
          <w:rPr>
            <w:noProof/>
            <w:webHidden/>
          </w:rPr>
          <w:fldChar w:fldCharType="end"/>
        </w:r>
      </w:hyperlink>
    </w:p>
    <w:p w14:paraId="72111139" w14:textId="77777777" w:rsidR="00136C48" w:rsidRDefault="006E5547">
      <w:pPr>
        <w:pStyle w:val="TOC3"/>
        <w:tabs>
          <w:tab w:val="left" w:pos="1320"/>
          <w:tab w:val="right" w:leader="dot" w:pos="9060"/>
        </w:tabs>
        <w:rPr>
          <w:rFonts w:eastAsiaTheme="minorEastAsia" w:cstheme="minorBidi"/>
          <w:i w:val="0"/>
          <w:iCs w:val="0"/>
          <w:noProof/>
          <w:sz w:val="22"/>
          <w:szCs w:val="22"/>
          <w:lang w:eastAsia="en-GB" w:bidi="ar-SA"/>
        </w:rPr>
      </w:pPr>
      <w:hyperlink w:anchor="_Toc436754827" w:history="1">
        <w:r w:rsidR="00136C48" w:rsidRPr="008537B5">
          <w:rPr>
            <w:rStyle w:val="Hyperlink"/>
            <w:noProof/>
          </w:rPr>
          <w:t>4.2.3.1</w:t>
        </w:r>
        <w:r w:rsidR="00136C48">
          <w:rPr>
            <w:rFonts w:eastAsiaTheme="minorEastAsia" w:cstheme="minorBidi"/>
            <w:i w:val="0"/>
            <w:iCs w:val="0"/>
            <w:noProof/>
            <w:sz w:val="22"/>
            <w:szCs w:val="22"/>
            <w:lang w:eastAsia="en-GB" w:bidi="ar-SA"/>
          </w:rPr>
          <w:tab/>
        </w:r>
        <w:r w:rsidR="00136C48" w:rsidRPr="008537B5">
          <w:rPr>
            <w:rStyle w:val="Hyperlink"/>
            <w:noProof/>
          </w:rPr>
          <w:t>Identifying foods that do not require regulatory approval</w:t>
        </w:r>
        <w:r w:rsidR="00136C48">
          <w:rPr>
            <w:noProof/>
            <w:webHidden/>
          </w:rPr>
          <w:tab/>
        </w:r>
        <w:r w:rsidR="00136C48">
          <w:rPr>
            <w:noProof/>
            <w:webHidden/>
          </w:rPr>
          <w:fldChar w:fldCharType="begin"/>
        </w:r>
        <w:r w:rsidR="00136C48">
          <w:rPr>
            <w:noProof/>
            <w:webHidden/>
          </w:rPr>
          <w:instrText xml:space="preserve"> PAGEREF _Toc436754827 \h </w:instrText>
        </w:r>
        <w:r w:rsidR="00136C48">
          <w:rPr>
            <w:noProof/>
            <w:webHidden/>
          </w:rPr>
        </w:r>
        <w:r w:rsidR="00136C48">
          <w:rPr>
            <w:noProof/>
            <w:webHidden/>
          </w:rPr>
          <w:fldChar w:fldCharType="separate"/>
        </w:r>
        <w:r>
          <w:rPr>
            <w:noProof/>
            <w:webHidden/>
          </w:rPr>
          <w:t>18</w:t>
        </w:r>
        <w:r w:rsidR="00136C48">
          <w:rPr>
            <w:noProof/>
            <w:webHidden/>
          </w:rPr>
          <w:fldChar w:fldCharType="end"/>
        </w:r>
      </w:hyperlink>
    </w:p>
    <w:p w14:paraId="13CEB631" w14:textId="77777777" w:rsidR="00136C48" w:rsidRDefault="006E5547">
      <w:pPr>
        <w:pStyle w:val="TOC3"/>
        <w:tabs>
          <w:tab w:val="left" w:pos="1320"/>
          <w:tab w:val="right" w:leader="dot" w:pos="9060"/>
        </w:tabs>
        <w:rPr>
          <w:rFonts w:eastAsiaTheme="minorEastAsia" w:cstheme="minorBidi"/>
          <w:i w:val="0"/>
          <w:iCs w:val="0"/>
          <w:noProof/>
          <w:sz w:val="22"/>
          <w:szCs w:val="22"/>
          <w:lang w:eastAsia="en-GB" w:bidi="ar-SA"/>
        </w:rPr>
      </w:pPr>
      <w:hyperlink w:anchor="_Toc436754828" w:history="1">
        <w:r w:rsidR="00136C48" w:rsidRPr="008537B5">
          <w:rPr>
            <w:rStyle w:val="Hyperlink"/>
            <w:noProof/>
          </w:rPr>
          <w:t>4.2.3.2</w:t>
        </w:r>
        <w:r w:rsidR="00136C48">
          <w:rPr>
            <w:rFonts w:eastAsiaTheme="minorEastAsia" w:cstheme="minorBidi"/>
            <w:i w:val="0"/>
            <w:iCs w:val="0"/>
            <w:noProof/>
            <w:sz w:val="22"/>
            <w:szCs w:val="22"/>
            <w:lang w:eastAsia="en-GB" w:bidi="ar-SA"/>
          </w:rPr>
          <w:tab/>
        </w:r>
        <w:r w:rsidR="00136C48" w:rsidRPr="008537B5">
          <w:rPr>
            <w:rStyle w:val="Hyperlink"/>
            <w:noProof/>
          </w:rPr>
          <w:t>Pathways for market entry of foods not meeting the EFC</w:t>
        </w:r>
        <w:r w:rsidR="00136C48">
          <w:rPr>
            <w:noProof/>
            <w:webHidden/>
          </w:rPr>
          <w:tab/>
        </w:r>
        <w:r w:rsidR="00136C48">
          <w:rPr>
            <w:noProof/>
            <w:webHidden/>
          </w:rPr>
          <w:fldChar w:fldCharType="begin"/>
        </w:r>
        <w:r w:rsidR="00136C48">
          <w:rPr>
            <w:noProof/>
            <w:webHidden/>
          </w:rPr>
          <w:instrText xml:space="preserve"> PAGEREF _Toc436754828 \h </w:instrText>
        </w:r>
        <w:r w:rsidR="00136C48">
          <w:rPr>
            <w:noProof/>
            <w:webHidden/>
          </w:rPr>
        </w:r>
        <w:r w:rsidR="00136C48">
          <w:rPr>
            <w:noProof/>
            <w:webHidden/>
          </w:rPr>
          <w:fldChar w:fldCharType="separate"/>
        </w:r>
        <w:r>
          <w:rPr>
            <w:noProof/>
            <w:webHidden/>
          </w:rPr>
          <w:t>19</w:t>
        </w:r>
        <w:r w:rsidR="00136C48">
          <w:rPr>
            <w:noProof/>
            <w:webHidden/>
          </w:rPr>
          <w:fldChar w:fldCharType="end"/>
        </w:r>
      </w:hyperlink>
    </w:p>
    <w:p w14:paraId="7C303137" w14:textId="77777777" w:rsidR="00136C48" w:rsidRDefault="006E5547">
      <w:pPr>
        <w:pStyle w:val="TOC3"/>
        <w:tabs>
          <w:tab w:val="left" w:pos="1320"/>
          <w:tab w:val="right" w:leader="dot" w:pos="9060"/>
        </w:tabs>
        <w:rPr>
          <w:rFonts w:eastAsiaTheme="minorEastAsia" w:cstheme="minorBidi"/>
          <w:i w:val="0"/>
          <w:iCs w:val="0"/>
          <w:noProof/>
          <w:sz w:val="22"/>
          <w:szCs w:val="22"/>
          <w:lang w:eastAsia="en-GB" w:bidi="ar-SA"/>
        </w:rPr>
      </w:pPr>
      <w:hyperlink w:anchor="_Toc436754829" w:history="1">
        <w:r w:rsidR="00136C48" w:rsidRPr="008537B5">
          <w:rPr>
            <w:rStyle w:val="Hyperlink"/>
            <w:noProof/>
          </w:rPr>
          <w:t>4.2.3.3</w:t>
        </w:r>
        <w:r w:rsidR="00136C48">
          <w:rPr>
            <w:rFonts w:eastAsiaTheme="minorEastAsia" w:cstheme="minorBidi"/>
            <w:i w:val="0"/>
            <w:iCs w:val="0"/>
            <w:noProof/>
            <w:sz w:val="22"/>
            <w:szCs w:val="22"/>
            <w:lang w:eastAsia="en-GB" w:bidi="ar-SA"/>
          </w:rPr>
          <w:tab/>
        </w:r>
        <w:r w:rsidR="00136C48" w:rsidRPr="008537B5">
          <w:rPr>
            <w:rStyle w:val="Hyperlink"/>
            <w:noProof/>
          </w:rPr>
          <w:t>Data and dossier requirements</w:t>
        </w:r>
        <w:r w:rsidR="00136C48">
          <w:rPr>
            <w:noProof/>
            <w:webHidden/>
          </w:rPr>
          <w:tab/>
        </w:r>
        <w:r w:rsidR="00136C48">
          <w:rPr>
            <w:noProof/>
            <w:webHidden/>
          </w:rPr>
          <w:fldChar w:fldCharType="begin"/>
        </w:r>
        <w:r w:rsidR="00136C48">
          <w:rPr>
            <w:noProof/>
            <w:webHidden/>
          </w:rPr>
          <w:instrText xml:space="preserve"> PAGEREF _Toc436754829 \h </w:instrText>
        </w:r>
        <w:r w:rsidR="00136C48">
          <w:rPr>
            <w:noProof/>
            <w:webHidden/>
          </w:rPr>
        </w:r>
        <w:r w:rsidR="00136C48">
          <w:rPr>
            <w:noProof/>
            <w:webHidden/>
          </w:rPr>
          <w:fldChar w:fldCharType="separate"/>
        </w:r>
        <w:r>
          <w:rPr>
            <w:noProof/>
            <w:webHidden/>
          </w:rPr>
          <w:t>20</w:t>
        </w:r>
        <w:r w:rsidR="00136C48">
          <w:rPr>
            <w:noProof/>
            <w:webHidden/>
          </w:rPr>
          <w:fldChar w:fldCharType="end"/>
        </w:r>
      </w:hyperlink>
    </w:p>
    <w:p w14:paraId="5FDD0CC1" w14:textId="77777777" w:rsidR="00136C48" w:rsidRDefault="006E5547">
      <w:pPr>
        <w:pStyle w:val="TOC3"/>
        <w:tabs>
          <w:tab w:val="left" w:pos="1320"/>
          <w:tab w:val="right" w:leader="dot" w:pos="9060"/>
        </w:tabs>
        <w:rPr>
          <w:rFonts w:eastAsiaTheme="minorEastAsia" w:cstheme="minorBidi"/>
          <w:i w:val="0"/>
          <w:iCs w:val="0"/>
          <w:noProof/>
          <w:sz w:val="22"/>
          <w:szCs w:val="22"/>
          <w:lang w:eastAsia="en-GB" w:bidi="ar-SA"/>
        </w:rPr>
      </w:pPr>
      <w:hyperlink w:anchor="_Toc436754830" w:history="1">
        <w:r w:rsidR="00136C48" w:rsidRPr="008537B5">
          <w:rPr>
            <w:rStyle w:val="Hyperlink"/>
            <w:noProof/>
          </w:rPr>
          <w:t>4.2.3.4</w:t>
        </w:r>
        <w:r w:rsidR="00136C48">
          <w:rPr>
            <w:rFonts w:eastAsiaTheme="minorEastAsia" w:cstheme="minorBidi"/>
            <w:i w:val="0"/>
            <w:iCs w:val="0"/>
            <w:noProof/>
            <w:sz w:val="22"/>
            <w:szCs w:val="22"/>
            <w:lang w:eastAsia="en-GB" w:bidi="ar-SA"/>
          </w:rPr>
          <w:tab/>
        </w:r>
        <w:r w:rsidR="00136C48" w:rsidRPr="008537B5">
          <w:rPr>
            <w:rStyle w:val="Hyperlink"/>
            <w:noProof/>
          </w:rPr>
          <w:t>FSANZ assessment of applications</w:t>
        </w:r>
        <w:r w:rsidR="00136C48">
          <w:rPr>
            <w:noProof/>
            <w:webHidden/>
          </w:rPr>
          <w:tab/>
        </w:r>
        <w:r w:rsidR="00136C48">
          <w:rPr>
            <w:noProof/>
            <w:webHidden/>
          </w:rPr>
          <w:fldChar w:fldCharType="begin"/>
        </w:r>
        <w:r w:rsidR="00136C48">
          <w:rPr>
            <w:noProof/>
            <w:webHidden/>
          </w:rPr>
          <w:instrText xml:space="preserve"> PAGEREF _Toc436754830 \h </w:instrText>
        </w:r>
        <w:r w:rsidR="00136C48">
          <w:rPr>
            <w:noProof/>
            <w:webHidden/>
          </w:rPr>
        </w:r>
        <w:r w:rsidR="00136C48">
          <w:rPr>
            <w:noProof/>
            <w:webHidden/>
          </w:rPr>
          <w:fldChar w:fldCharType="separate"/>
        </w:r>
        <w:r>
          <w:rPr>
            <w:noProof/>
            <w:webHidden/>
          </w:rPr>
          <w:t>22</w:t>
        </w:r>
        <w:r w:rsidR="00136C48">
          <w:rPr>
            <w:noProof/>
            <w:webHidden/>
          </w:rPr>
          <w:fldChar w:fldCharType="end"/>
        </w:r>
      </w:hyperlink>
    </w:p>
    <w:p w14:paraId="3E3F3908"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31" w:history="1">
        <w:r w:rsidR="00136C48" w:rsidRPr="008537B5">
          <w:rPr>
            <w:rStyle w:val="Hyperlink"/>
            <w:noProof/>
          </w:rPr>
          <w:t>4.3</w:t>
        </w:r>
        <w:r w:rsidR="00136C48">
          <w:rPr>
            <w:rFonts w:eastAsiaTheme="minorEastAsia" w:cstheme="minorBidi"/>
            <w:smallCaps w:val="0"/>
            <w:noProof/>
            <w:sz w:val="22"/>
            <w:szCs w:val="22"/>
            <w:lang w:eastAsia="en-GB" w:bidi="ar-SA"/>
          </w:rPr>
          <w:tab/>
        </w:r>
        <w:r w:rsidR="00136C48" w:rsidRPr="008537B5">
          <w:rPr>
            <w:rStyle w:val="Hyperlink"/>
            <w:noProof/>
          </w:rPr>
          <w:t>Draft framework - other considerations</w:t>
        </w:r>
        <w:r w:rsidR="00136C48">
          <w:rPr>
            <w:noProof/>
            <w:webHidden/>
          </w:rPr>
          <w:tab/>
        </w:r>
        <w:r w:rsidR="00136C48">
          <w:rPr>
            <w:noProof/>
            <w:webHidden/>
          </w:rPr>
          <w:fldChar w:fldCharType="begin"/>
        </w:r>
        <w:r w:rsidR="00136C48">
          <w:rPr>
            <w:noProof/>
            <w:webHidden/>
          </w:rPr>
          <w:instrText xml:space="preserve"> PAGEREF _Toc436754831 \h </w:instrText>
        </w:r>
        <w:r w:rsidR="00136C48">
          <w:rPr>
            <w:noProof/>
            <w:webHidden/>
          </w:rPr>
        </w:r>
        <w:r w:rsidR="00136C48">
          <w:rPr>
            <w:noProof/>
            <w:webHidden/>
          </w:rPr>
          <w:fldChar w:fldCharType="separate"/>
        </w:r>
        <w:r>
          <w:rPr>
            <w:noProof/>
            <w:webHidden/>
          </w:rPr>
          <w:t>24</w:t>
        </w:r>
        <w:r w:rsidR="00136C48">
          <w:rPr>
            <w:noProof/>
            <w:webHidden/>
          </w:rPr>
          <w:fldChar w:fldCharType="end"/>
        </w:r>
      </w:hyperlink>
    </w:p>
    <w:p w14:paraId="1A7BB77C"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32" w:history="1">
        <w:r w:rsidR="00136C48" w:rsidRPr="008537B5">
          <w:rPr>
            <w:rStyle w:val="Hyperlink"/>
            <w:noProof/>
          </w:rPr>
          <w:t>4.3.1</w:t>
        </w:r>
        <w:r w:rsidR="00136C48">
          <w:rPr>
            <w:rFonts w:eastAsiaTheme="minorEastAsia" w:cstheme="minorBidi"/>
            <w:i w:val="0"/>
            <w:iCs w:val="0"/>
            <w:noProof/>
            <w:sz w:val="22"/>
            <w:szCs w:val="22"/>
            <w:lang w:eastAsia="en-GB" w:bidi="ar-SA"/>
          </w:rPr>
          <w:tab/>
        </w:r>
        <w:r w:rsidR="00136C48" w:rsidRPr="008537B5">
          <w:rPr>
            <w:rStyle w:val="Hyperlink"/>
            <w:noProof/>
          </w:rPr>
          <w:t>Impact of the draft framework on current standards</w:t>
        </w:r>
        <w:r w:rsidR="00136C48">
          <w:rPr>
            <w:noProof/>
            <w:webHidden/>
          </w:rPr>
          <w:tab/>
        </w:r>
        <w:r w:rsidR="00136C48">
          <w:rPr>
            <w:noProof/>
            <w:webHidden/>
          </w:rPr>
          <w:fldChar w:fldCharType="begin"/>
        </w:r>
        <w:r w:rsidR="00136C48">
          <w:rPr>
            <w:noProof/>
            <w:webHidden/>
          </w:rPr>
          <w:instrText xml:space="preserve"> PAGEREF _Toc436754832 \h </w:instrText>
        </w:r>
        <w:r w:rsidR="00136C48">
          <w:rPr>
            <w:noProof/>
            <w:webHidden/>
          </w:rPr>
        </w:r>
        <w:r w:rsidR="00136C48">
          <w:rPr>
            <w:noProof/>
            <w:webHidden/>
          </w:rPr>
          <w:fldChar w:fldCharType="separate"/>
        </w:r>
        <w:r>
          <w:rPr>
            <w:noProof/>
            <w:webHidden/>
          </w:rPr>
          <w:t>24</w:t>
        </w:r>
        <w:r w:rsidR="00136C48">
          <w:rPr>
            <w:noProof/>
            <w:webHidden/>
          </w:rPr>
          <w:fldChar w:fldCharType="end"/>
        </w:r>
      </w:hyperlink>
    </w:p>
    <w:p w14:paraId="173ABFC7"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33" w:history="1">
        <w:r w:rsidR="00136C48" w:rsidRPr="008537B5">
          <w:rPr>
            <w:rStyle w:val="Hyperlink"/>
            <w:noProof/>
          </w:rPr>
          <w:t>4.3.2</w:t>
        </w:r>
        <w:r w:rsidR="00136C48">
          <w:rPr>
            <w:rFonts w:eastAsiaTheme="minorEastAsia" w:cstheme="minorBidi"/>
            <w:i w:val="0"/>
            <w:iCs w:val="0"/>
            <w:noProof/>
            <w:sz w:val="22"/>
            <w:szCs w:val="22"/>
            <w:lang w:eastAsia="en-GB" w:bidi="ar-SA"/>
          </w:rPr>
          <w:tab/>
        </w:r>
        <w:r w:rsidR="00136C48" w:rsidRPr="008537B5">
          <w:rPr>
            <w:rStyle w:val="Hyperlink"/>
            <w:noProof/>
          </w:rPr>
          <w:t>Policy guidance</w:t>
        </w:r>
        <w:r w:rsidR="00136C48">
          <w:rPr>
            <w:noProof/>
            <w:webHidden/>
          </w:rPr>
          <w:tab/>
        </w:r>
        <w:r w:rsidR="00136C48">
          <w:rPr>
            <w:noProof/>
            <w:webHidden/>
          </w:rPr>
          <w:fldChar w:fldCharType="begin"/>
        </w:r>
        <w:r w:rsidR="00136C48">
          <w:rPr>
            <w:noProof/>
            <w:webHidden/>
          </w:rPr>
          <w:instrText xml:space="preserve"> PAGEREF _Toc436754833 \h </w:instrText>
        </w:r>
        <w:r w:rsidR="00136C48">
          <w:rPr>
            <w:noProof/>
            <w:webHidden/>
          </w:rPr>
        </w:r>
        <w:r w:rsidR="00136C48">
          <w:rPr>
            <w:noProof/>
            <w:webHidden/>
          </w:rPr>
          <w:fldChar w:fldCharType="separate"/>
        </w:r>
        <w:r>
          <w:rPr>
            <w:noProof/>
            <w:webHidden/>
          </w:rPr>
          <w:t>24</w:t>
        </w:r>
        <w:r w:rsidR="00136C48">
          <w:rPr>
            <w:noProof/>
            <w:webHidden/>
          </w:rPr>
          <w:fldChar w:fldCharType="end"/>
        </w:r>
      </w:hyperlink>
    </w:p>
    <w:p w14:paraId="43DC03D1"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34" w:history="1">
        <w:r w:rsidR="00136C48" w:rsidRPr="008537B5">
          <w:rPr>
            <w:rStyle w:val="Hyperlink"/>
            <w:noProof/>
          </w:rPr>
          <w:t>4.3.3</w:t>
        </w:r>
        <w:r w:rsidR="00136C48">
          <w:rPr>
            <w:rFonts w:eastAsiaTheme="minorEastAsia" w:cstheme="minorBidi"/>
            <w:i w:val="0"/>
            <w:iCs w:val="0"/>
            <w:noProof/>
            <w:sz w:val="22"/>
            <w:szCs w:val="22"/>
            <w:lang w:eastAsia="en-GB" w:bidi="ar-SA"/>
          </w:rPr>
          <w:tab/>
        </w:r>
        <w:r w:rsidR="00136C48" w:rsidRPr="008537B5">
          <w:rPr>
            <w:rStyle w:val="Hyperlink"/>
            <w:noProof/>
          </w:rPr>
          <w:t>International consistency</w:t>
        </w:r>
        <w:r w:rsidR="00136C48">
          <w:rPr>
            <w:noProof/>
            <w:webHidden/>
          </w:rPr>
          <w:tab/>
        </w:r>
        <w:r w:rsidR="00136C48">
          <w:rPr>
            <w:noProof/>
            <w:webHidden/>
          </w:rPr>
          <w:fldChar w:fldCharType="begin"/>
        </w:r>
        <w:r w:rsidR="00136C48">
          <w:rPr>
            <w:noProof/>
            <w:webHidden/>
          </w:rPr>
          <w:instrText xml:space="preserve"> PAGEREF _Toc436754834 \h </w:instrText>
        </w:r>
        <w:r w:rsidR="00136C48">
          <w:rPr>
            <w:noProof/>
            <w:webHidden/>
          </w:rPr>
        </w:r>
        <w:r w:rsidR="00136C48">
          <w:rPr>
            <w:noProof/>
            <w:webHidden/>
          </w:rPr>
          <w:fldChar w:fldCharType="separate"/>
        </w:r>
        <w:r>
          <w:rPr>
            <w:noProof/>
            <w:webHidden/>
          </w:rPr>
          <w:t>24</w:t>
        </w:r>
        <w:r w:rsidR="00136C48">
          <w:rPr>
            <w:noProof/>
            <w:webHidden/>
          </w:rPr>
          <w:fldChar w:fldCharType="end"/>
        </w:r>
      </w:hyperlink>
    </w:p>
    <w:p w14:paraId="6A8B508D"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35" w:history="1">
        <w:r w:rsidR="00136C48" w:rsidRPr="008537B5">
          <w:rPr>
            <w:rStyle w:val="Hyperlink"/>
            <w:noProof/>
          </w:rPr>
          <w:t>4.4</w:t>
        </w:r>
        <w:r w:rsidR="00136C48">
          <w:rPr>
            <w:rFonts w:eastAsiaTheme="minorEastAsia" w:cstheme="minorBidi"/>
            <w:smallCaps w:val="0"/>
            <w:noProof/>
            <w:sz w:val="22"/>
            <w:szCs w:val="22"/>
            <w:lang w:eastAsia="en-GB" w:bidi="ar-SA"/>
          </w:rPr>
          <w:tab/>
        </w:r>
        <w:r w:rsidR="00136C48" w:rsidRPr="008537B5">
          <w:rPr>
            <w:rStyle w:val="Hyperlink"/>
            <w:noProof/>
          </w:rPr>
          <w:t>Assessment conclusion</w:t>
        </w:r>
        <w:r w:rsidR="00136C48">
          <w:rPr>
            <w:noProof/>
            <w:webHidden/>
          </w:rPr>
          <w:tab/>
        </w:r>
        <w:r w:rsidR="00136C48">
          <w:rPr>
            <w:noProof/>
            <w:webHidden/>
          </w:rPr>
          <w:fldChar w:fldCharType="begin"/>
        </w:r>
        <w:r w:rsidR="00136C48">
          <w:rPr>
            <w:noProof/>
            <w:webHidden/>
          </w:rPr>
          <w:instrText xml:space="preserve"> PAGEREF _Toc436754835 \h </w:instrText>
        </w:r>
        <w:r w:rsidR="00136C48">
          <w:rPr>
            <w:noProof/>
            <w:webHidden/>
          </w:rPr>
        </w:r>
        <w:r w:rsidR="00136C48">
          <w:rPr>
            <w:noProof/>
            <w:webHidden/>
          </w:rPr>
          <w:fldChar w:fldCharType="separate"/>
        </w:r>
        <w:r>
          <w:rPr>
            <w:noProof/>
            <w:webHidden/>
          </w:rPr>
          <w:t>25</w:t>
        </w:r>
        <w:r w:rsidR="00136C48">
          <w:rPr>
            <w:noProof/>
            <w:webHidden/>
          </w:rPr>
          <w:fldChar w:fldCharType="end"/>
        </w:r>
      </w:hyperlink>
    </w:p>
    <w:p w14:paraId="7D9E1313" w14:textId="77777777" w:rsidR="00136C48" w:rsidRDefault="006E5547">
      <w:pPr>
        <w:pStyle w:val="TOC1"/>
        <w:rPr>
          <w:rFonts w:eastAsiaTheme="minorEastAsia" w:cstheme="minorBidi"/>
          <w:b w:val="0"/>
          <w:bCs w:val="0"/>
          <w:caps w:val="0"/>
          <w:noProof/>
          <w:sz w:val="22"/>
          <w:szCs w:val="22"/>
          <w:lang w:eastAsia="en-GB" w:bidi="ar-SA"/>
        </w:rPr>
      </w:pPr>
      <w:hyperlink w:anchor="_Toc436754836" w:history="1">
        <w:r w:rsidR="00136C48" w:rsidRPr="008537B5">
          <w:rPr>
            <w:rStyle w:val="Hyperlink"/>
            <w:noProof/>
          </w:rPr>
          <w:t>5</w:t>
        </w:r>
        <w:r w:rsidR="00136C48">
          <w:rPr>
            <w:rFonts w:eastAsiaTheme="minorEastAsia" w:cstheme="minorBidi"/>
            <w:b w:val="0"/>
            <w:bCs w:val="0"/>
            <w:caps w:val="0"/>
            <w:noProof/>
            <w:sz w:val="22"/>
            <w:szCs w:val="22"/>
            <w:lang w:eastAsia="en-GB" w:bidi="ar-SA"/>
          </w:rPr>
          <w:tab/>
        </w:r>
        <w:r w:rsidR="00136C48" w:rsidRPr="008537B5">
          <w:rPr>
            <w:rStyle w:val="Hyperlink"/>
            <w:noProof/>
          </w:rPr>
          <w:t>FSANZ Act assessment requirements</w:t>
        </w:r>
        <w:r w:rsidR="00136C48">
          <w:rPr>
            <w:noProof/>
            <w:webHidden/>
          </w:rPr>
          <w:tab/>
        </w:r>
        <w:r w:rsidR="00136C48">
          <w:rPr>
            <w:noProof/>
            <w:webHidden/>
          </w:rPr>
          <w:fldChar w:fldCharType="begin"/>
        </w:r>
        <w:r w:rsidR="00136C48">
          <w:rPr>
            <w:noProof/>
            <w:webHidden/>
          </w:rPr>
          <w:instrText xml:space="preserve"> PAGEREF _Toc436754836 \h </w:instrText>
        </w:r>
        <w:r w:rsidR="00136C48">
          <w:rPr>
            <w:noProof/>
            <w:webHidden/>
          </w:rPr>
        </w:r>
        <w:r w:rsidR="00136C48">
          <w:rPr>
            <w:noProof/>
            <w:webHidden/>
          </w:rPr>
          <w:fldChar w:fldCharType="separate"/>
        </w:r>
        <w:r>
          <w:rPr>
            <w:noProof/>
            <w:webHidden/>
          </w:rPr>
          <w:t>25</w:t>
        </w:r>
        <w:r w:rsidR="00136C48">
          <w:rPr>
            <w:noProof/>
            <w:webHidden/>
          </w:rPr>
          <w:fldChar w:fldCharType="end"/>
        </w:r>
      </w:hyperlink>
    </w:p>
    <w:p w14:paraId="344EC8A6"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37" w:history="1">
        <w:r w:rsidR="00136C48" w:rsidRPr="008537B5">
          <w:rPr>
            <w:rStyle w:val="Hyperlink"/>
            <w:noProof/>
            <w:lang w:eastAsia="en-AU"/>
          </w:rPr>
          <w:t>5.1</w:t>
        </w:r>
        <w:r w:rsidR="00136C48">
          <w:rPr>
            <w:rFonts w:eastAsiaTheme="minorEastAsia" w:cstheme="minorBidi"/>
            <w:smallCaps w:val="0"/>
            <w:noProof/>
            <w:sz w:val="22"/>
            <w:szCs w:val="22"/>
            <w:lang w:eastAsia="en-GB" w:bidi="ar-SA"/>
          </w:rPr>
          <w:tab/>
        </w:r>
        <w:r w:rsidR="00136C48" w:rsidRPr="008537B5">
          <w:rPr>
            <w:rStyle w:val="Hyperlink"/>
            <w:noProof/>
            <w:lang w:eastAsia="en-AU"/>
          </w:rPr>
          <w:t>Section 59</w:t>
        </w:r>
        <w:r w:rsidR="00136C48">
          <w:rPr>
            <w:noProof/>
            <w:webHidden/>
          </w:rPr>
          <w:tab/>
        </w:r>
        <w:r w:rsidR="00136C48">
          <w:rPr>
            <w:noProof/>
            <w:webHidden/>
          </w:rPr>
          <w:fldChar w:fldCharType="begin"/>
        </w:r>
        <w:r w:rsidR="00136C48">
          <w:rPr>
            <w:noProof/>
            <w:webHidden/>
          </w:rPr>
          <w:instrText xml:space="preserve"> PAGEREF _Toc436754837 \h </w:instrText>
        </w:r>
        <w:r w:rsidR="00136C48">
          <w:rPr>
            <w:noProof/>
            <w:webHidden/>
          </w:rPr>
        </w:r>
        <w:r w:rsidR="00136C48">
          <w:rPr>
            <w:noProof/>
            <w:webHidden/>
          </w:rPr>
          <w:fldChar w:fldCharType="separate"/>
        </w:r>
        <w:r>
          <w:rPr>
            <w:noProof/>
            <w:webHidden/>
          </w:rPr>
          <w:t>25</w:t>
        </w:r>
        <w:r w:rsidR="00136C48">
          <w:rPr>
            <w:noProof/>
            <w:webHidden/>
          </w:rPr>
          <w:fldChar w:fldCharType="end"/>
        </w:r>
      </w:hyperlink>
    </w:p>
    <w:p w14:paraId="4D744ED0"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38" w:history="1">
        <w:r w:rsidR="00136C48" w:rsidRPr="008537B5">
          <w:rPr>
            <w:rStyle w:val="Hyperlink"/>
            <w:noProof/>
          </w:rPr>
          <w:t>5.1.1</w:t>
        </w:r>
        <w:r w:rsidR="00136C48">
          <w:rPr>
            <w:rFonts w:eastAsiaTheme="minorEastAsia" w:cstheme="minorBidi"/>
            <w:i w:val="0"/>
            <w:iCs w:val="0"/>
            <w:noProof/>
            <w:sz w:val="22"/>
            <w:szCs w:val="22"/>
            <w:lang w:eastAsia="en-GB" w:bidi="ar-SA"/>
          </w:rPr>
          <w:tab/>
        </w:r>
        <w:r w:rsidR="00136C48" w:rsidRPr="008537B5">
          <w:rPr>
            <w:rStyle w:val="Hyperlink"/>
            <w:noProof/>
          </w:rPr>
          <w:t>Cost benefit analysis</w:t>
        </w:r>
        <w:r w:rsidR="00136C48">
          <w:rPr>
            <w:noProof/>
            <w:webHidden/>
          </w:rPr>
          <w:tab/>
        </w:r>
        <w:r w:rsidR="00136C48">
          <w:rPr>
            <w:noProof/>
            <w:webHidden/>
          </w:rPr>
          <w:fldChar w:fldCharType="begin"/>
        </w:r>
        <w:r w:rsidR="00136C48">
          <w:rPr>
            <w:noProof/>
            <w:webHidden/>
          </w:rPr>
          <w:instrText xml:space="preserve"> PAGEREF _Toc436754838 \h </w:instrText>
        </w:r>
        <w:r w:rsidR="00136C48">
          <w:rPr>
            <w:noProof/>
            <w:webHidden/>
          </w:rPr>
        </w:r>
        <w:r w:rsidR="00136C48">
          <w:rPr>
            <w:noProof/>
            <w:webHidden/>
          </w:rPr>
          <w:fldChar w:fldCharType="separate"/>
        </w:r>
        <w:r>
          <w:rPr>
            <w:noProof/>
            <w:webHidden/>
          </w:rPr>
          <w:t>25</w:t>
        </w:r>
        <w:r w:rsidR="00136C48">
          <w:rPr>
            <w:noProof/>
            <w:webHidden/>
          </w:rPr>
          <w:fldChar w:fldCharType="end"/>
        </w:r>
      </w:hyperlink>
    </w:p>
    <w:p w14:paraId="0200587C"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39" w:history="1">
        <w:r w:rsidR="00136C48" w:rsidRPr="008537B5">
          <w:rPr>
            <w:rStyle w:val="Hyperlink"/>
            <w:noProof/>
          </w:rPr>
          <w:t>5.1.2</w:t>
        </w:r>
        <w:r w:rsidR="00136C48">
          <w:rPr>
            <w:rFonts w:eastAsiaTheme="minorEastAsia" w:cstheme="minorBidi"/>
            <w:i w:val="0"/>
            <w:iCs w:val="0"/>
            <w:noProof/>
            <w:sz w:val="22"/>
            <w:szCs w:val="22"/>
            <w:lang w:eastAsia="en-GB" w:bidi="ar-SA"/>
          </w:rPr>
          <w:tab/>
        </w:r>
        <w:r w:rsidR="00136C48" w:rsidRPr="008537B5">
          <w:rPr>
            <w:rStyle w:val="Hyperlink"/>
            <w:noProof/>
          </w:rPr>
          <w:t>Other measures</w:t>
        </w:r>
        <w:r w:rsidR="00136C48">
          <w:rPr>
            <w:noProof/>
            <w:webHidden/>
          </w:rPr>
          <w:tab/>
        </w:r>
        <w:r w:rsidR="00136C48">
          <w:rPr>
            <w:noProof/>
            <w:webHidden/>
          </w:rPr>
          <w:fldChar w:fldCharType="begin"/>
        </w:r>
        <w:r w:rsidR="00136C48">
          <w:rPr>
            <w:noProof/>
            <w:webHidden/>
          </w:rPr>
          <w:instrText xml:space="preserve"> PAGEREF _Toc436754839 \h </w:instrText>
        </w:r>
        <w:r w:rsidR="00136C48">
          <w:rPr>
            <w:noProof/>
            <w:webHidden/>
          </w:rPr>
        </w:r>
        <w:r w:rsidR="00136C48">
          <w:rPr>
            <w:noProof/>
            <w:webHidden/>
          </w:rPr>
          <w:fldChar w:fldCharType="separate"/>
        </w:r>
        <w:r>
          <w:rPr>
            <w:noProof/>
            <w:webHidden/>
          </w:rPr>
          <w:t>25</w:t>
        </w:r>
        <w:r w:rsidR="00136C48">
          <w:rPr>
            <w:noProof/>
            <w:webHidden/>
          </w:rPr>
          <w:fldChar w:fldCharType="end"/>
        </w:r>
      </w:hyperlink>
    </w:p>
    <w:p w14:paraId="624F3522"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40" w:history="1">
        <w:r w:rsidR="00136C48" w:rsidRPr="008537B5">
          <w:rPr>
            <w:rStyle w:val="Hyperlink"/>
            <w:noProof/>
          </w:rPr>
          <w:t>5.1.3</w:t>
        </w:r>
        <w:r w:rsidR="00136C48">
          <w:rPr>
            <w:rFonts w:eastAsiaTheme="minorEastAsia" w:cstheme="minorBidi"/>
            <w:i w:val="0"/>
            <w:iCs w:val="0"/>
            <w:noProof/>
            <w:sz w:val="22"/>
            <w:szCs w:val="22"/>
            <w:lang w:eastAsia="en-GB" w:bidi="ar-SA"/>
          </w:rPr>
          <w:tab/>
        </w:r>
        <w:r w:rsidR="00136C48" w:rsidRPr="008537B5">
          <w:rPr>
            <w:rStyle w:val="Hyperlink"/>
            <w:noProof/>
          </w:rPr>
          <w:t>Any relevant New Zealand standards</w:t>
        </w:r>
        <w:r w:rsidR="00136C48">
          <w:rPr>
            <w:noProof/>
            <w:webHidden/>
          </w:rPr>
          <w:tab/>
        </w:r>
        <w:r w:rsidR="00136C48">
          <w:rPr>
            <w:noProof/>
            <w:webHidden/>
          </w:rPr>
          <w:fldChar w:fldCharType="begin"/>
        </w:r>
        <w:r w:rsidR="00136C48">
          <w:rPr>
            <w:noProof/>
            <w:webHidden/>
          </w:rPr>
          <w:instrText xml:space="preserve"> PAGEREF _Toc436754840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13B63A04"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41" w:history="1">
        <w:r w:rsidR="00136C48" w:rsidRPr="008537B5">
          <w:rPr>
            <w:rStyle w:val="Hyperlink"/>
            <w:noProof/>
          </w:rPr>
          <w:t>5.1.4</w:t>
        </w:r>
        <w:r w:rsidR="00136C48">
          <w:rPr>
            <w:rFonts w:eastAsiaTheme="minorEastAsia" w:cstheme="minorBidi"/>
            <w:i w:val="0"/>
            <w:iCs w:val="0"/>
            <w:noProof/>
            <w:sz w:val="22"/>
            <w:szCs w:val="22"/>
            <w:lang w:eastAsia="en-GB" w:bidi="ar-SA"/>
          </w:rPr>
          <w:tab/>
        </w:r>
        <w:r w:rsidR="00136C48" w:rsidRPr="008537B5">
          <w:rPr>
            <w:rStyle w:val="Hyperlink"/>
            <w:noProof/>
          </w:rPr>
          <w:t>Any other relevant matters</w:t>
        </w:r>
        <w:r w:rsidR="00136C48">
          <w:rPr>
            <w:noProof/>
            <w:webHidden/>
          </w:rPr>
          <w:tab/>
        </w:r>
        <w:r w:rsidR="00136C48">
          <w:rPr>
            <w:noProof/>
            <w:webHidden/>
          </w:rPr>
          <w:fldChar w:fldCharType="begin"/>
        </w:r>
        <w:r w:rsidR="00136C48">
          <w:rPr>
            <w:noProof/>
            <w:webHidden/>
          </w:rPr>
          <w:instrText xml:space="preserve"> PAGEREF _Toc436754841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50DC5BB5"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42" w:history="1">
        <w:r w:rsidR="00136C48" w:rsidRPr="008537B5">
          <w:rPr>
            <w:rStyle w:val="Hyperlink"/>
            <w:noProof/>
          </w:rPr>
          <w:t>5.2</w:t>
        </w:r>
        <w:r w:rsidR="00136C48">
          <w:rPr>
            <w:rFonts w:eastAsiaTheme="minorEastAsia" w:cstheme="minorBidi"/>
            <w:smallCaps w:val="0"/>
            <w:noProof/>
            <w:sz w:val="22"/>
            <w:szCs w:val="22"/>
            <w:lang w:eastAsia="en-GB" w:bidi="ar-SA"/>
          </w:rPr>
          <w:tab/>
        </w:r>
        <w:r w:rsidR="00136C48" w:rsidRPr="008537B5">
          <w:rPr>
            <w:rStyle w:val="Hyperlink"/>
            <w:noProof/>
          </w:rPr>
          <w:t>Addressing FSANZ’s objectives for standards-setting</w:t>
        </w:r>
        <w:r w:rsidR="00136C48">
          <w:rPr>
            <w:noProof/>
            <w:webHidden/>
          </w:rPr>
          <w:tab/>
        </w:r>
        <w:r w:rsidR="00136C48">
          <w:rPr>
            <w:noProof/>
            <w:webHidden/>
          </w:rPr>
          <w:fldChar w:fldCharType="begin"/>
        </w:r>
        <w:r w:rsidR="00136C48">
          <w:rPr>
            <w:noProof/>
            <w:webHidden/>
          </w:rPr>
          <w:instrText xml:space="preserve"> PAGEREF _Toc436754842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30B707B2"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43" w:history="1">
        <w:r w:rsidR="00136C48" w:rsidRPr="008537B5">
          <w:rPr>
            <w:rStyle w:val="Hyperlink"/>
            <w:noProof/>
          </w:rPr>
          <w:t>5.2.1</w:t>
        </w:r>
        <w:r w:rsidR="00136C48">
          <w:rPr>
            <w:rFonts w:eastAsiaTheme="minorEastAsia" w:cstheme="minorBidi"/>
            <w:i w:val="0"/>
            <w:iCs w:val="0"/>
            <w:noProof/>
            <w:sz w:val="22"/>
            <w:szCs w:val="22"/>
            <w:lang w:eastAsia="en-GB" w:bidi="ar-SA"/>
          </w:rPr>
          <w:tab/>
        </w:r>
        <w:r w:rsidR="00136C48" w:rsidRPr="008537B5">
          <w:rPr>
            <w:rStyle w:val="Hyperlink"/>
            <w:noProof/>
          </w:rPr>
          <w:t xml:space="preserve"> Protection of public health and safety</w:t>
        </w:r>
        <w:r w:rsidR="00136C48">
          <w:rPr>
            <w:noProof/>
            <w:webHidden/>
          </w:rPr>
          <w:tab/>
        </w:r>
        <w:r w:rsidR="00136C48">
          <w:rPr>
            <w:noProof/>
            <w:webHidden/>
          </w:rPr>
          <w:fldChar w:fldCharType="begin"/>
        </w:r>
        <w:r w:rsidR="00136C48">
          <w:rPr>
            <w:noProof/>
            <w:webHidden/>
          </w:rPr>
          <w:instrText xml:space="preserve"> PAGEREF _Toc436754843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78AF0270"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44" w:history="1">
        <w:r w:rsidR="00136C48" w:rsidRPr="008537B5">
          <w:rPr>
            <w:rStyle w:val="Hyperlink"/>
            <w:noProof/>
          </w:rPr>
          <w:t>5.2.2</w:t>
        </w:r>
        <w:r w:rsidR="00136C48">
          <w:rPr>
            <w:rFonts w:eastAsiaTheme="minorEastAsia" w:cstheme="minorBidi"/>
            <w:i w:val="0"/>
            <w:iCs w:val="0"/>
            <w:noProof/>
            <w:sz w:val="22"/>
            <w:szCs w:val="22"/>
            <w:lang w:eastAsia="en-GB" w:bidi="ar-SA"/>
          </w:rPr>
          <w:tab/>
        </w:r>
        <w:r w:rsidR="00136C48" w:rsidRPr="008537B5">
          <w:rPr>
            <w:rStyle w:val="Hyperlink"/>
            <w:noProof/>
          </w:rPr>
          <w:t>The provision of adequate information relating to food to enable consumers to make informed choices</w:t>
        </w:r>
        <w:r w:rsidR="00136C48">
          <w:rPr>
            <w:noProof/>
            <w:webHidden/>
          </w:rPr>
          <w:tab/>
        </w:r>
        <w:r w:rsidR="00136C48">
          <w:rPr>
            <w:noProof/>
            <w:webHidden/>
          </w:rPr>
          <w:fldChar w:fldCharType="begin"/>
        </w:r>
        <w:r w:rsidR="00136C48">
          <w:rPr>
            <w:noProof/>
            <w:webHidden/>
          </w:rPr>
          <w:instrText xml:space="preserve"> PAGEREF _Toc436754844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6CFD8D87"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45" w:history="1">
        <w:r w:rsidR="00136C48" w:rsidRPr="008537B5">
          <w:rPr>
            <w:rStyle w:val="Hyperlink"/>
            <w:noProof/>
          </w:rPr>
          <w:t>5.2.3</w:t>
        </w:r>
        <w:r w:rsidR="00136C48">
          <w:rPr>
            <w:rFonts w:eastAsiaTheme="minorEastAsia" w:cstheme="minorBidi"/>
            <w:i w:val="0"/>
            <w:iCs w:val="0"/>
            <w:noProof/>
            <w:sz w:val="22"/>
            <w:szCs w:val="22"/>
            <w:lang w:eastAsia="en-GB" w:bidi="ar-SA"/>
          </w:rPr>
          <w:tab/>
        </w:r>
        <w:r w:rsidR="00136C48" w:rsidRPr="008537B5">
          <w:rPr>
            <w:rStyle w:val="Hyperlink"/>
            <w:noProof/>
          </w:rPr>
          <w:t>The prevention of misleading or deceptive conduct</w:t>
        </w:r>
        <w:r w:rsidR="00136C48">
          <w:rPr>
            <w:noProof/>
            <w:webHidden/>
          </w:rPr>
          <w:tab/>
        </w:r>
        <w:r w:rsidR="00136C48">
          <w:rPr>
            <w:noProof/>
            <w:webHidden/>
          </w:rPr>
          <w:fldChar w:fldCharType="begin"/>
        </w:r>
        <w:r w:rsidR="00136C48">
          <w:rPr>
            <w:noProof/>
            <w:webHidden/>
          </w:rPr>
          <w:instrText xml:space="preserve"> PAGEREF _Toc436754845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562B6436"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46" w:history="1">
        <w:r w:rsidR="00136C48" w:rsidRPr="008537B5">
          <w:rPr>
            <w:rStyle w:val="Hyperlink"/>
            <w:noProof/>
          </w:rPr>
          <w:t>5.3</w:t>
        </w:r>
        <w:r w:rsidR="00136C48">
          <w:rPr>
            <w:rFonts w:eastAsiaTheme="minorEastAsia" w:cstheme="minorBidi"/>
            <w:smallCaps w:val="0"/>
            <w:noProof/>
            <w:sz w:val="22"/>
            <w:szCs w:val="22"/>
            <w:lang w:eastAsia="en-GB" w:bidi="ar-SA"/>
          </w:rPr>
          <w:tab/>
        </w:r>
        <w:r w:rsidR="00136C48" w:rsidRPr="008537B5">
          <w:rPr>
            <w:rStyle w:val="Hyperlink"/>
            <w:noProof/>
          </w:rPr>
          <w:t>Subsection 18(2) considerations</w:t>
        </w:r>
        <w:r w:rsidR="00136C48">
          <w:rPr>
            <w:noProof/>
            <w:webHidden/>
          </w:rPr>
          <w:tab/>
        </w:r>
        <w:r w:rsidR="00136C48">
          <w:rPr>
            <w:noProof/>
            <w:webHidden/>
          </w:rPr>
          <w:fldChar w:fldCharType="begin"/>
        </w:r>
        <w:r w:rsidR="00136C48">
          <w:rPr>
            <w:noProof/>
            <w:webHidden/>
          </w:rPr>
          <w:instrText xml:space="preserve"> PAGEREF _Toc436754846 \h </w:instrText>
        </w:r>
        <w:r w:rsidR="00136C48">
          <w:rPr>
            <w:noProof/>
            <w:webHidden/>
          </w:rPr>
        </w:r>
        <w:r w:rsidR="00136C48">
          <w:rPr>
            <w:noProof/>
            <w:webHidden/>
          </w:rPr>
          <w:fldChar w:fldCharType="separate"/>
        </w:r>
        <w:r>
          <w:rPr>
            <w:noProof/>
            <w:webHidden/>
          </w:rPr>
          <w:t>26</w:t>
        </w:r>
        <w:r w:rsidR="00136C48">
          <w:rPr>
            <w:noProof/>
            <w:webHidden/>
          </w:rPr>
          <w:fldChar w:fldCharType="end"/>
        </w:r>
      </w:hyperlink>
    </w:p>
    <w:p w14:paraId="0F22BBC0" w14:textId="77777777" w:rsidR="00136C48" w:rsidRDefault="00136C48">
      <w:pPr>
        <w:pStyle w:val="TOC1"/>
        <w:rPr>
          <w:rStyle w:val="Hyperlink"/>
          <w:noProof/>
        </w:rPr>
      </w:pPr>
      <w:r>
        <w:rPr>
          <w:rStyle w:val="Hyperlink"/>
          <w:noProof/>
        </w:rPr>
        <w:br w:type="page"/>
      </w:r>
    </w:p>
    <w:p w14:paraId="59B0424F" w14:textId="60E01216" w:rsidR="00136C48" w:rsidRDefault="006E5547">
      <w:pPr>
        <w:pStyle w:val="TOC1"/>
        <w:rPr>
          <w:rFonts w:eastAsiaTheme="minorEastAsia" w:cstheme="minorBidi"/>
          <w:b w:val="0"/>
          <w:bCs w:val="0"/>
          <w:caps w:val="0"/>
          <w:noProof/>
          <w:sz w:val="22"/>
          <w:szCs w:val="22"/>
          <w:lang w:eastAsia="en-GB" w:bidi="ar-SA"/>
        </w:rPr>
      </w:pPr>
      <w:hyperlink w:anchor="_Toc436754847" w:history="1">
        <w:r w:rsidR="00136C48" w:rsidRPr="008537B5">
          <w:rPr>
            <w:rStyle w:val="Hyperlink"/>
            <w:noProof/>
          </w:rPr>
          <w:t>6</w:t>
        </w:r>
        <w:r w:rsidR="00136C48">
          <w:rPr>
            <w:rFonts w:eastAsiaTheme="minorEastAsia" w:cstheme="minorBidi"/>
            <w:b w:val="0"/>
            <w:bCs w:val="0"/>
            <w:caps w:val="0"/>
            <w:noProof/>
            <w:sz w:val="22"/>
            <w:szCs w:val="22"/>
            <w:lang w:eastAsia="en-GB" w:bidi="ar-SA"/>
          </w:rPr>
          <w:tab/>
        </w:r>
        <w:r w:rsidR="00136C48" w:rsidRPr="008537B5">
          <w:rPr>
            <w:rStyle w:val="Hyperlink"/>
            <w:noProof/>
          </w:rPr>
          <w:t>Other matters</w:t>
        </w:r>
        <w:r w:rsidR="00136C48">
          <w:rPr>
            <w:noProof/>
            <w:webHidden/>
          </w:rPr>
          <w:tab/>
        </w:r>
        <w:r w:rsidR="00136C48">
          <w:rPr>
            <w:noProof/>
            <w:webHidden/>
          </w:rPr>
          <w:fldChar w:fldCharType="begin"/>
        </w:r>
        <w:r w:rsidR="00136C48">
          <w:rPr>
            <w:noProof/>
            <w:webHidden/>
          </w:rPr>
          <w:instrText xml:space="preserve"> PAGEREF _Toc436754847 \h </w:instrText>
        </w:r>
        <w:r w:rsidR="00136C48">
          <w:rPr>
            <w:noProof/>
            <w:webHidden/>
          </w:rPr>
        </w:r>
        <w:r w:rsidR="00136C48">
          <w:rPr>
            <w:noProof/>
            <w:webHidden/>
          </w:rPr>
          <w:fldChar w:fldCharType="separate"/>
        </w:r>
        <w:r>
          <w:rPr>
            <w:noProof/>
            <w:webHidden/>
          </w:rPr>
          <w:t>27</w:t>
        </w:r>
        <w:r w:rsidR="00136C48">
          <w:rPr>
            <w:noProof/>
            <w:webHidden/>
          </w:rPr>
          <w:fldChar w:fldCharType="end"/>
        </w:r>
      </w:hyperlink>
    </w:p>
    <w:p w14:paraId="59ECB09B"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48" w:history="1">
        <w:r w:rsidR="00136C48" w:rsidRPr="008537B5">
          <w:rPr>
            <w:rStyle w:val="Hyperlink"/>
            <w:noProof/>
          </w:rPr>
          <w:t>6.1</w:t>
        </w:r>
        <w:r w:rsidR="00136C48">
          <w:rPr>
            <w:rFonts w:eastAsiaTheme="minorEastAsia" w:cstheme="minorBidi"/>
            <w:smallCaps w:val="0"/>
            <w:noProof/>
            <w:sz w:val="22"/>
            <w:szCs w:val="22"/>
            <w:lang w:eastAsia="en-GB" w:bidi="ar-SA"/>
          </w:rPr>
          <w:tab/>
        </w:r>
        <w:r w:rsidR="00136C48" w:rsidRPr="008537B5">
          <w:rPr>
            <w:rStyle w:val="Hyperlink"/>
            <w:noProof/>
          </w:rPr>
          <w:t xml:space="preserve">The New Zealand </w:t>
        </w:r>
        <w:r w:rsidR="00136C48" w:rsidRPr="008537B5">
          <w:rPr>
            <w:rStyle w:val="Hyperlink"/>
            <w:i/>
            <w:noProof/>
          </w:rPr>
          <w:t>Food (Supplemented Food) Standard 2013</w:t>
        </w:r>
        <w:r w:rsidR="00136C48">
          <w:rPr>
            <w:noProof/>
            <w:webHidden/>
          </w:rPr>
          <w:tab/>
        </w:r>
        <w:r w:rsidR="00136C48">
          <w:rPr>
            <w:noProof/>
            <w:webHidden/>
          </w:rPr>
          <w:fldChar w:fldCharType="begin"/>
        </w:r>
        <w:r w:rsidR="00136C48">
          <w:rPr>
            <w:noProof/>
            <w:webHidden/>
          </w:rPr>
          <w:instrText xml:space="preserve"> PAGEREF _Toc436754848 \h </w:instrText>
        </w:r>
        <w:r w:rsidR="00136C48">
          <w:rPr>
            <w:noProof/>
            <w:webHidden/>
          </w:rPr>
        </w:r>
        <w:r w:rsidR="00136C48">
          <w:rPr>
            <w:noProof/>
            <w:webHidden/>
          </w:rPr>
          <w:fldChar w:fldCharType="separate"/>
        </w:r>
        <w:r>
          <w:rPr>
            <w:noProof/>
            <w:webHidden/>
          </w:rPr>
          <w:t>27</w:t>
        </w:r>
        <w:r w:rsidR="00136C48">
          <w:rPr>
            <w:noProof/>
            <w:webHidden/>
          </w:rPr>
          <w:fldChar w:fldCharType="end"/>
        </w:r>
      </w:hyperlink>
    </w:p>
    <w:p w14:paraId="68401754"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49" w:history="1">
        <w:r w:rsidR="00136C48" w:rsidRPr="008537B5">
          <w:rPr>
            <w:rStyle w:val="Hyperlink"/>
            <w:rFonts w:eastAsia="Calibri"/>
            <w:noProof/>
          </w:rPr>
          <w:t>6.1.1</w:t>
        </w:r>
        <w:r w:rsidR="00136C48">
          <w:rPr>
            <w:rFonts w:eastAsiaTheme="minorEastAsia" w:cstheme="minorBidi"/>
            <w:i w:val="0"/>
            <w:iCs w:val="0"/>
            <w:noProof/>
            <w:sz w:val="22"/>
            <w:szCs w:val="22"/>
            <w:lang w:eastAsia="en-GB" w:bidi="ar-SA"/>
          </w:rPr>
          <w:tab/>
        </w:r>
        <w:r w:rsidR="00136C48" w:rsidRPr="008537B5">
          <w:rPr>
            <w:rStyle w:val="Hyperlink"/>
            <w:rFonts w:eastAsia="Calibri"/>
            <w:noProof/>
          </w:rPr>
          <w:t>New Zealand Standard versus the Code</w:t>
        </w:r>
        <w:r w:rsidR="00136C48">
          <w:rPr>
            <w:noProof/>
            <w:webHidden/>
          </w:rPr>
          <w:tab/>
        </w:r>
        <w:r w:rsidR="00136C48">
          <w:rPr>
            <w:noProof/>
            <w:webHidden/>
          </w:rPr>
          <w:fldChar w:fldCharType="begin"/>
        </w:r>
        <w:r w:rsidR="00136C48">
          <w:rPr>
            <w:noProof/>
            <w:webHidden/>
          </w:rPr>
          <w:instrText xml:space="preserve"> PAGEREF _Toc436754849 \h </w:instrText>
        </w:r>
        <w:r w:rsidR="00136C48">
          <w:rPr>
            <w:noProof/>
            <w:webHidden/>
          </w:rPr>
        </w:r>
        <w:r w:rsidR="00136C48">
          <w:rPr>
            <w:noProof/>
            <w:webHidden/>
          </w:rPr>
          <w:fldChar w:fldCharType="separate"/>
        </w:r>
        <w:r>
          <w:rPr>
            <w:noProof/>
            <w:webHidden/>
          </w:rPr>
          <w:t>28</w:t>
        </w:r>
        <w:r w:rsidR="00136C48">
          <w:rPr>
            <w:noProof/>
            <w:webHidden/>
          </w:rPr>
          <w:fldChar w:fldCharType="end"/>
        </w:r>
      </w:hyperlink>
    </w:p>
    <w:p w14:paraId="7DCBD65E"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50" w:history="1">
        <w:r w:rsidR="00136C48" w:rsidRPr="008537B5">
          <w:rPr>
            <w:rStyle w:val="Hyperlink"/>
            <w:rFonts w:eastAsia="Calibri"/>
            <w:noProof/>
          </w:rPr>
          <w:t>6.1.2</w:t>
        </w:r>
        <w:r w:rsidR="00136C48">
          <w:rPr>
            <w:rFonts w:eastAsiaTheme="minorEastAsia" w:cstheme="minorBidi"/>
            <w:i w:val="0"/>
            <w:iCs w:val="0"/>
            <w:noProof/>
            <w:sz w:val="22"/>
            <w:szCs w:val="22"/>
            <w:lang w:eastAsia="en-GB" w:bidi="ar-SA"/>
          </w:rPr>
          <w:tab/>
        </w:r>
        <w:r w:rsidR="00136C48" w:rsidRPr="008537B5">
          <w:rPr>
            <w:rStyle w:val="Hyperlink"/>
            <w:rFonts w:eastAsia="Calibri"/>
            <w:noProof/>
          </w:rPr>
          <w:t>Potential alignment of trans-Tasman regulations for the addition of substances to foods</w:t>
        </w:r>
        <w:r w:rsidR="00136C48">
          <w:rPr>
            <w:noProof/>
            <w:webHidden/>
          </w:rPr>
          <w:tab/>
        </w:r>
        <w:r w:rsidR="00136C48">
          <w:rPr>
            <w:noProof/>
            <w:webHidden/>
          </w:rPr>
          <w:fldChar w:fldCharType="begin"/>
        </w:r>
        <w:r w:rsidR="00136C48">
          <w:rPr>
            <w:noProof/>
            <w:webHidden/>
          </w:rPr>
          <w:instrText xml:space="preserve"> PAGEREF _Toc436754850 \h </w:instrText>
        </w:r>
        <w:r w:rsidR="00136C48">
          <w:rPr>
            <w:noProof/>
            <w:webHidden/>
          </w:rPr>
        </w:r>
        <w:r w:rsidR="00136C48">
          <w:rPr>
            <w:noProof/>
            <w:webHidden/>
          </w:rPr>
          <w:fldChar w:fldCharType="separate"/>
        </w:r>
        <w:r>
          <w:rPr>
            <w:noProof/>
            <w:webHidden/>
          </w:rPr>
          <w:t>29</w:t>
        </w:r>
        <w:r w:rsidR="00136C48">
          <w:rPr>
            <w:noProof/>
            <w:webHidden/>
          </w:rPr>
          <w:fldChar w:fldCharType="end"/>
        </w:r>
      </w:hyperlink>
    </w:p>
    <w:p w14:paraId="0FEBC0B9"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51" w:history="1">
        <w:r w:rsidR="00136C48" w:rsidRPr="008537B5">
          <w:rPr>
            <w:rStyle w:val="Hyperlink"/>
            <w:rFonts w:eastAsia="Calibri"/>
            <w:noProof/>
          </w:rPr>
          <w:t>6.2</w:t>
        </w:r>
        <w:r w:rsidR="00136C48">
          <w:rPr>
            <w:rFonts w:eastAsiaTheme="minorEastAsia" w:cstheme="minorBidi"/>
            <w:smallCaps w:val="0"/>
            <w:noProof/>
            <w:sz w:val="22"/>
            <w:szCs w:val="22"/>
            <w:lang w:eastAsia="en-GB" w:bidi="ar-SA"/>
          </w:rPr>
          <w:tab/>
        </w:r>
        <w:r w:rsidR="00136C48" w:rsidRPr="008537B5">
          <w:rPr>
            <w:rStyle w:val="Hyperlink"/>
            <w:rFonts w:eastAsia="Calibri"/>
            <w:noProof/>
          </w:rPr>
          <w:t>Exclusive permission for brand and class of food</w:t>
        </w:r>
        <w:r w:rsidR="00136C48">
          <w:rPr>
            <w:noProof/>
            <w:webHidden/>
          </w:rPr>
          <w:tab/>
        </w:r>
        <w:r w:rsidR="00136C48">
          <w:rPr>
            <w:noProof/>
            <w:webHidden/>
          </w:rPr>
          <w:fldChar w:fldCharType="begin"/>
        </w:r>
        <w:r w:rsidR="00136C48">
          <w:rPr>
            <w:noProof/>
            <w:webHidden/>
          </w:rPr>
          <w:instrText xml:space="preserve"> PAGEREF _Toc436754851 \h </w:instrText>
        </w:r>
        <w:r w:rsidR="00136C48">
          <w:rPr>
            <w:noProof/>
            <w:webHidden/>
          </w:rPr>
        </w:r>
        <w:r w:rsidR="00136C48">
          <w:rPr>
            <w:noProof/>
            <w:webHidden/>
          </w:rPr>
          <w:fldChar w:fldCharType="separate"/>
        </w:r>
        <w:r>
          <w:rPr>
            <w:noProof/>
            <w:webHidden/>
          </w:rPr>
          <w:t>29</w:t>
        </w:r>
        <w:r w:rsidR="00136C48">
          <w:rPr>
            <w:noProof/>
            <w:webHidden/>
          </w:rPr>
          <w:fldChar w:fldCharType="end"/>
        </w:r>
      </w:hyperlink>
    </w:p>
    <w:p w14:paraId="624D3453" w14:textId="77777777" w:rsidR="00136C48" w:rsidRDefault="006E5547">
      <w:pPr>
        <w:pStyle w:val="TOC1"/>
        <w:rPr>
          <w:rFonts w:eastAsiaTheme="minorEastAsia" w:cstheme="minorBidi"/>
          <w:b w:val="0"/>
          <w:bCs w:val="0"/>
          <w:caps w:val="0"/>
          <w:noProof/>
          <w:sz w:val="22"/>
          <w:szCs w:val="22"/>
          <w:lang w:eastAsia="en-GB" w:bidi="ar-SA"/>
        </w:rPr>
      </w:pPr>
      <w:hyperlink w:anchor="_Toc436754852" w:history="1">
        <w:r w:rsidR="00136C48" w:rsidRPr="008537B5">
          <w:rPr>
            <w:rStyle w:val="Hyperlink"/>
            <w:noProof/>
          </w:rPr>
          <w:t>7</w:t>
        </w:r>
        <w:r w:rsidR="00136C48">
          <w:rPr>
            <w:rFonts w:eastAsiaTheme="minorEastAsia" w:cstheme="minorBidi"/>
            <w:b w:val="0"/>
            <w:bCs w:val="0"/>
            <w:caps w:val="0"/>
            <w:noProof/>
            <w:sz w:val="22"/>
            <w:szCs w:val="22"/>
            <w:lang w:eastAsia="en-GB" w:bidi="ar-SA"/>
          </w:rPr>
          <w:tab/>
        </w:r>
        <w:r w:rsidR="00136C48" w:rsidRPr="008537B5">
          <w:rPr>
            <w:rStyle w:val="Hyperlink"/>
            <w:noProof/>
          </w:rPr>
          <w:t>Transition and implementation</w:t>
        </w:r>
        <w:r w:rsidR="00136C48">
          <w:rPr>
            <w:noProof/>
            <w:webHidden/>
          </w:rPr>
          <w:tab/>
        </w:r>
        <w:r w:rsidR="00136C48">
          <w:rPr>
            <w:noProof/>
            <w:webHidden/>
          </w:rPr>
          <w:fldChar w:fldCharType="begin"/>
        </w:r>
        <w:r w:rsidR="00136C48">
          <w:rPr>
            <w:noProof/>
            <w:webHidden/>
          </w:rPr>
          <w:instrText xml:space="preserve"> PAGEREF _Toc436754852 \h </w:instrText>
        </w:r>
        <w:r w:rsidR="00136C48">
          <w:rPr>
            <w:noProof/>
            <w:webHidden/>
          </w:rPr>
        </w:r>
        <w:r w:rsidR="00136C48">
          <w:rPr>
            <w:noProof/>
            <w:webHidden/>
          </w:rPr>
          <w:fldChar w:fldCharType="separate"/>
        </w:r>
        <w:r>
          <w:rPr>
            <w:noProof/>
            <w:webHidden/>
          </w:rPr>
          <w:t>31</w:t>
        </w:r>
        <w:r w:rsidR="00136C48">
          <w:rPr>
            <w:noProof/>
            <w:webHidden/>
          </w:rPr>
          <w:fldChar w:fldCharType="end"/>
        </w:r>
      </w:hyperlink>
    </w:p>
    <w:p w14:paraId="46DD3A0E"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53" w:history="1">
        <w:r w:rsidR="00136C48" w:rsidRPr="008537B5">
          <w:rPr>
            <w:rStyle w:val="Hyperlink"/>
            <w:noProof/>
          </w:rPr>
          <w:t xml:space="preserve">7.1 </w:t>
        </w:r>
        <w:r w:rsidR="00136C48">
          <w:rPr>
            <w:rFonts w:eastAsiaTheme="minorEastAsia" w:cstheme="minorBidi"/>
            <w:smallCaps w:val="0"/>
            <w:noProof/>
            <w:sz w:val="22"/>
            <w:szCs w:val="22"/>
            <w:lang w:eastAsia="en-GB" w:bidi="ar-SA"/>
          </w:rPr>
          <w:tab/>
        </w:r>
        <w:r w:rsidR="00136C48" w:rsidRPr="008537B5">
          <w:rPr>
            <w:rStyle w:val="Hyperlink"/>
            <w:noProof/>
          </w:rPr>
          <w:t>Proposed transitional period</w:t>
        </w:r>
        <w:r w:rsidR="00136C48">
          <w:rPr>
            <w:noProof/>
            <w:webHidden/>
          </w:rPr>
          <w:tab/>
        </w:r>
        <w:r w:rsidR="00136C48">
          <w:rPr>
            <w:noProof/>
            <w:webHidden/>
          </w:rPr>
          <w:fldChar w:fldCharType="begin"/>
        </w:r>
        <w:r w:rsidR="00136C48">
          <w:rPr>
            <w:noProof/>
            <w:webHidden/>
          </w:rPr>
          <w:instrText xml:space="preserve"> PAGEREF _Toc436754853 \h </w:instrText>
        </w:r>
        <w:r w:rsidR="00136C48">
          <w:rPr>
            <w:noProof/>
            <w:webHidden/>
          </w:rPr>
        </w:r>
        <w:r w:rsidR="00136C48">
          <w:rPr>
            <w:noProof/>
            <w:webHidden/>
          </w:rPr>
          <w:fldChar w:fldCharType="separate"/>
        </w:r>
        <w:r>
          <w:rPr>
            <w:noProof/>
            <w:webHidden/>
          </w:rPr>
          <w:t>31</w:t>
        </w:r>
        <w:r w:rsidR="00136C48">
          <w:rPr>
            <w:noProof/>
            <w:webHidden/>
          </w:rPr>
          <w:fldChar w:fldCharType="end"/>
        </w:r>
      </w:hyperlink>
    </w:p>
    <w:p w14:paraId="30090620"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54" w:history="1">
        <w:r w:rsidR="00136C48" w:rsidRPr="008537B5">
          <w:rPr>
            <w:rStyle w:val="Hyperlink"/>
            <w:noProof/>
          </w:rPr>
          <w:t>7.2</w:t>
        </w:r>
        <w:r w:rsidR="00136C48">
          <w:rPr>
            <w:rFonts w:eastAsiaTheme="minorEastAsia" w:cstheme="minorBidi"/>
            <w:smallCaps w:val="0"/>
            <w:noProof/>
            <w:sz w:val="22"/>
            <w:szCs w:val="22"/>
            <w:lang w:eastAsia="en-GB" w:bidi="ar-SA"/>
          </w:rPr>
          <w:tab/>
        </w:r>
        <w:r w:rsidR="00136C48" w:rsidRPr="008537B5">
          <w:rPr>
            <w:rStyle w:val="Hyperlink"/>
            <w:noProof/>
          </w:rPr>
          <w:t>Implementation</w:t>
        </w:r>
        <w:r w:rsidR="00136C48">
          <w:rPr>
            <w:noProof/>
            <w:webHidden/>
          </w:rPr>
          <w:tab/>
        </w:r>
        <w:r w:rsidR="00136C48">
          <w:rPr>
            <w:noProof/>
            <w:webHidden/>
          </w:rPr>
          <w:fldChar w:fldCharType="begin"/>
        </w:r>
        <w:r w:rsidR="00136C48">
          <w:rPr>
            <w:noProof/>
            <w:webHidden/>
          </w:rPr>
          <w:instrText xml:space="preserve"> PAGEREF _Toc436754854 \h </w:instrText>
        </w:r>
        <w:r w:rsidR="00136C48">
          <w:rPr>
            <w:noProof/>
            <w:webHidden/>
          </w:rPr>
        </w:r>
        <w:r w:rsidR="00136C48">
          <w:rPr>
            <w:noProof/>
            <w:webHidden/>
          </w:rPr>
          <w:fldChar w:fldCharType="separate"/>
        </w:r>
        <w:r>
          <w:rPr>
            <w:noProof/>
            <w:webHidden/>
          </w:rPr>
          <w:t>31</w:t>
        </w:r>
        <w:r w:rsidR="00136C48">
          <w:rPr>
            <w:noProof/>
            <w:webHidden/>
          </w:rPr>
          <w:fldChar w:fldCharType="end"/>
        </w:r>
      </w:hyperlink>
    </w:p>
    <w:p w14:paraId="653CC7B3"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55" w:history="1">
        <w:r w:rsidR="00136C48" w:rsidRPr="008537B5">
          <w:rPr>
            <w:rStyle w:val="Hyperlink"/>
            <w:noProof/>
          </w:rPr>
          <w:t>7.2.1</w:t>
        </w:r>
        <w:r w:rsidR="00136C48">
          <w:rPr>
            <w:rFonts w:eastAsiaTheme="minorEastAsia" w:cstheme="minorBidi"/>
            <w:i w:val="0"/>
            <w:iCs w:val="0"/>
            <w:noProof/>
            <w:sz w:val="22"/>
            <w:szCs w:val="22"/>
            <w:lang w:eastAsia="en-GB" w:bidi="ar-SA"/>
          </w:rPr>
          <w:tab/>
        </w:r>
        <w:r w:rsidR="00136C48" w:rsidRPr="008537B5">
          <w:rPr>
            <w:rStyle w:val="Hyperlink"/>
            <w:noProof/>
          </w:rPr>
          <w:t>Enforcement and compliance</w:t>
        </w:r>
        <w:r w:rsidR="00136C48">
          <w:rPr>
            <w:noProof/>
            <w:webHidden/>
          </w:rPr>
          <w:tab/>
        </w:r>
        <w:r w:rsidR="00136C48">
          <w:rPr>
            <w:noProof/>
            <w:webHidden/>
          </w:rPr>
          <w:fldChar w:fldCharType="begin"/>
        </w:r>
        <w:r w:rsidR="00136C48">
          <w:rPr>
            <w:noProof/>
            <w:webHidden/>
          </w:rPr>
          <w:instrText xml:space="preserve"> PAGEREF _Toc436754855 \h </w:instrText>
        </w:r>
        <w:r w:rsidR="00136C48">
          <w:rPr>
            <w:noProof/>
            <w:webHidden/>
          </w:rPr>
        </w:r>
        <w:r w:rsidR="00136C48">
          <w:rPr>
            <w:noProof/>
            <w:webHidden/>
          </w:rPr>
          <w:fldChar w:fldCharType="separate"/>
        </w:r>
        <w:r>
          <w:rPr>
            <w:noProof/>
            <w:webHidden/>
          </w:rPr>
          <w:t>31</w:t>
        </w:r>
        <w:r w:rsidR="00136C48">
          <w:rPr>
            <w:noProof/>
            <w:webHidden/>
          </w:rPr>
          <w:fldChar w:fldCharType="end"/>
        </w:r>
      </w:hyperlink>
    </w:p>
    <w:p w14:paraId="67C60234"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56" w:history="1">
        <w:r w:rsidR="00136C48" w:rsidRPr="008537B5">
          <w:rPr>
            <w:rStyle w:val="Hyperlink"/>
            <w:noProof/>
          </w:rPr>
          <w:t>7.2.2</w:t>
        </w:r>
        <w:r w:rsidR="00136C48">
          <w:rPr>
            <w:rFonts w:eastAsiaTheme="minorEastAsia" w:cstheme="minorBidi"/>
            <w:i w:val="0"/>
            <w:iCs w:val="0"/>
            <w:noProof/>
            <w:sz w:val="22"/>
            <w:szCs w:val="22"/>
            <w:lang w:eastAsia="en-GB" w:bidi="ar-SA"/>
          </w:rPr>
          <w:tab/>
        </w:r>
        <w:r w:rsidR="00136C48" w:rsidRPr="008537B5">
          <w:rPr>
            <w:rStyle w:val="Hyperlink"/>
            <w:noProof/>
          </w:rPr>
          <w:t>Awareness of the new provisions</w:t>
        </w:r>
        <w:r w:rsidR="00136C48">
          <w:rPr>
            <w:noProof/>
            <w:webHidden/>
          </w:rPr>
          <w:tab/>
        </w:r>
        <w:r w:rsidR="00136C48">
          <w:rPr>
            <w:noProof/>
            <w:webHidden/>
          </w:rPr>
          <w:fldChar w:fldCharType="begin"/>
        </w:r>
        <w:r w:rsidR="00136C48">
          <w:rPr>
            <w:noProof/>
            <w:webHidden/>
          </w:rPr>
          <w:instrText xml:space="preserve"> PAGEREF _Toc436754856 \h </w:instrText>
        </w:r>
        <w:r w:rsidR="00136C48">
          <w:rPr>
            <w:noProof/>
            <w:webHidden/>
          </w:rPr>
        </w:r>
        <w:r w:rsidR="00136C48">
          <w:rPr>
            <w:noProof/>
            <w:webHidden/>
          </w:rPr>
          <w:fldChar w:fldCharType="separate"/>
        </w:r>
        <w:r>
          <w:rPr>
            <w:noProof/>
            <w:webHidden/>
          </w:rPr>
          <w:t>31</w:t>
        </w:r>
        <w:r w:rsidR="00136C48">
          <w:rPr>
            <w:noProof/>
            <w:webHidden/>
          </w:rPr>
          <w:fldChar w:fldCharType="end"/>
        </w:r>
      </w:hyperlink>
    </w:p>
    <w:p w14:paraId="324F7F79"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57" w:history="1">
        <w:r w:rsidR="00136C48" w:rsidRPr="008537B5">
          <w:rPr>
            <w:rStyle w:val="Hyperlink"/>
            <w:noProof/>
          </w:rPr>
          <w:t>7.2.3</w:t>
        </w:r>
        <w:r w:rsidR="00136C48">
          <w:rPr>
            <w:rFonts w:eastAsiaTheme="minorEastAsia" w:cstheme="minorBidi"/>
            <w:i w:val="0"/>
            <w:iCs w:val="0"/>
            <w:noProof/>
            <w:sz w:val="22"/>
            <w:szCs w:val="22"/>
            <w:lang w:eastAsia="en-GB" w:bidi="ar-SA"/>
          </w:rPr>
          <w:tab/>
        </w:r>
        <w:r w:rsidR="00136C48" w:rsidRPr="008537B5">
          <w:rPr>
            <w:rStyle w:val="Hyperlink"/>
            <w:noProof/>
          </w:rPr>
          <w:t>Post-market surveillance</w:t>
        </w:r>
        <w:r w:rsidR="00136C48">
          <w:rPr>
            <w:noProof/>
            <w:webHidden/>
          </w:rPr>
          <w:tab/>
        </w:r>
        <w:r w:rsidR="00136C48">
          <w:rPr>
            <w:noProof/>
            <w:webHidden/>
          </w:rPr>
          <w:fldChar w:fldCharType="begin"/>
        </w:r>
        <w:r w:rsidR="00136C48">
          <w:rPr>
            <w:noProof/>
            <w:webHidden/>
          </w:rPr>
          <w:instrText xml:space="preserve"> PAGEREF _Toc436754857 \h </w:instrText>
        </w:r>
        <w:r w:rsidR="00136C48">
          <w:rPr>
            <w:noProof/>
            <w:webHidden/>
          </w:rPr>
        </w:r>
        <w:r w:rsidR="00136C48">
          <w:rPr>
            <w:noProof/>
            <w:webHidden/>
          </w:rPr>
          <w:fldChar w:fldCharType="separate"/>
        </w:r>
        <w:r>
          <w:rPr>
            <w:noProof/>
            <w:webHidden/>
          </w:rPr>
          <w:t>32</w:t>
        </w:r>
        <w:r w:rsidR="00136C48">
          <w:rPr>
            <w:noProof/>
            <w:webHidden/>
          </w:rPr>
          <w:fldChar w:fldCharType="end"/>
        </w:r>
      </w:hyperlink>
    </w:p>
    <w:p w14:paraId="2EDA2517" w14:textId="77777777" w:rsidR="00136C48" w:rsidRDefault="006E5547">
      <w:pPr>
        <w:pStyle w:val="TOC1"/>
        <w:rPr>
          <w:rFonts w:eastAsiaTheme="minorEastAsia" w:cstheme="minorBidi"/>
          <w:b w:val="0"/>
          <w:bCs w:val="0"/>
          <w:caps w:val="0"/>
          <w:noProof/>
          <w:sz w:val="22"/>
          <w:szCs w:val="22"/>
          <w:lang w:eastAsia="en-GB" w:bidi="ar-SA"/>
        </w:rPr>
      </w:pPr>
      <w:hyperlink w:anchor="_Toc436754858" w:history="1">
        <w:r w:rsidR="00136C48" w:rsidRPr="008537B5">
          <w:rPr>
            <w:rStyle w:val="Hyperlink"/>
            <w:noProof/>
          </w:rPr>
          <w:t>8</w:t>
        </w:r>
        <w:r w:rsidR="00136C48">
          <w:rPr>
            <w:rFonts w:eastAsiaTheme="minorEastAsia" w:cstheme="minorBidi"/>
            <w:b w:val="0"/>
            <w:bCs w:val="0"/>
            <w:caps w:val="0"/>
            <w:noProof/>
            <w:sz w:val="22"/>
            <w:szCs w:val="22"/>
            <w:lang w:eastAsia="en-GB" w:bidi="ar-SA"/>
          </w:rPr>
          <w:tab/>
        </w:r>
        <w:r w:rsidR="00136C48" w:rsidRPr="008537B5">
          <w:rPr>
            <w:rStyle w:val="Hyperlink"/>
            <w:noProof/>
          </w:rPr>
          <w:t>Communication</w:t>
        </w:r>
        <w:r w:rsidR="00136C48">
          <w:rPr>
            <w:noProof/>
            <w:webHidden/>
          </w:rPr>
          <w:tab/>
        </w:r>
        <w:r w:rsidR="00136C48">
          <w:rPr>
            <w:noProof/>
            <w:webHidden/>
          </w:rPr>
          <w:fldChar w:fldCharType="begin"/>
        </w:r>
        <w:r w:rsidR="00136C48">
          <w:rPr>
            <w:noProof/>
            <w:webHidden/>
          </w:rPr>
          <w:instrText xml:space="preserve"> PAGEREF _Toc436754858 \h </w:instrText>
        </w:r>
        <w:r w:rsidR="00136C48">
          <w:rPr>
            <w:noProof/>
            <w:webHidden/>
          </w:rPr>
        </w:r>
        <w:r w:rsidR="00136C48">
          <w:rPr>
            <w:noProof/>
            <w:webHidden/>
          </w:rPr>
          <w:fldChar w:fldCharType="separate"/>
        </w:r>
        <w:r>
          <w:rPr>
            <w:noProof/>
            <w:webHidden/>
          </w:rPr>
          <w:t>32</w:t>
        </w:r>
        <w:r w:rsidR="00136C48">
          <w:rPr>
            <w:noProof/>
            <w:webHidden/>
          </w:rPr>
          <w:fldChar w:fldCharType="end"/>
        </w:r>
      </w:hyperlink>
    </w:p>
    <w:p w14:paraId="01CDBEEC"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59" w:history="1">
        <w:r w:rsidR="00136C48" w:rsidRPr="008537B5">
          <w:rPr>
            <w:rStyle w:val="Hyperlink"/>
            <w:noProof/>
          </w:rPr>
          <w:t>8.1</w:t>
        </w:r>
        <w:r w:rsidR="00136C48">
          <w:rPr>
            <w:rFonts w:eastAsiaTheme="minorEastAsia" w:cstheme="minorBidi"/>
            <w:smallCaps w:val="0"/>
            <w:noProof/>
            <w:sz w:val="22"/>
            <w:szCs w:val="22"/>
            <w:lang w:eastAsia="en-GB" w:bidi="ar-SA"/>
          </w:rPr>
          <w:tab/>
        </w:r>
        <w:r w:rsidR="00136C48" w:rsidRPr="008537B5">
          <w:rPr>
            <w:rStyle w:val="Hyperlink"/>
            <w:noProof/>
          </w:rPr>
          <w:t>Consultation</w:t>
        </w:r>
        <w:r w:rsidR="00136C48">
          <w:rPr>
            <w:noProof/>
            <w:webHidden/>
          </w:rPr>
          <w:tab/>
        </w:r>
        <w:r w:rsidR="00136C48">
          <w:rPr>
            <w:noProof/>
            <w:webHidden/>
          </w:rPr>
          <w:fldChar w:fldCharType="begin"/>
        </w:r>
        <w:r w:rsidR="00136C48">
          <w:rPr>
            <w:noProof/>
            <w:webHidden/>
          </w:rPr>
          <w:instrText xml:space="preserve"> PAGEREF _Toc436754859 \h </w:instrText>
        </w:r>
        <w:r w:rsidR="00136C48">
          <w:rPr>
            <w:noProof/>
            <w:webHidden/>
          </w:rPr>
        </w:r>
        <w:r w:rsidR="00136C48">
          <w:rPr>
            <w:noProof/>
            <w:webHidden/>
          </w:rPr>
          <w:fldChar w:fldCharType="separate"/>
        </w:r>
        <w:r>
          <w:rPr>
            <w:noProof/>
            <w:webHidden/>
          </w:rPr>
          <w:t>32</w:t>
        </w:r>
        <w:r w:rsidR="00136C48">
          <w:rPr>
            <w:noProof/>
            <w:webHidden/>
          </w:rPr>
          <w:fldChar w:fldCharType="end"/>
        </w:r>
      </w:hyperlink>
    </w:p>
    <w:p w14:paraId="4D2215DC"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60" w:history="1">
        <w:r w:rsidR="00136C48" w:rsidRPr="008537B5">
          <w:rPr>
            <w:rStyle w:val="Hyperlink"/>
            <w:noProof/>
          </w:rPr>
          <w:t>8.1.1</w:t>
        </w:r>
        <w:r w:rsidR="00136C48">
          <w:rPr>
            <w:rFonts w:eastAsiaTheme="minorEastAsia" w:cstheme="minorBidi"/>
            <w:i w:val="0"/>
            <w:iCs w:val="0"/>
            <w:noProof/>
            <w:sz w:val="22"/>
            <w:szCs w:val="22"/>
            <w:lang w:eastAsia="en-GB" w:bidi="ar-SA"/>
          </w:rPr>
          <w:tab/>
        </w:r>
        <w:r w:rsidR="00136C48" w:rsidRPr="008537B5">
          <w:rPr>
            <w:rStyle w:val="Hyperlink"/>
            <w:noProof/>
          </w:rPr>
          <w:t>Preliminary Consultation 2012</w:t>
        </w:r>
        <w:r w:rsidR="00136C48">
          <w:rPr>
            <w:noProof/>
            <w:webHidden/>
          </w:rPr>
          <w:tab/>
        </w:r>
        <w:r w:rsidR="00136C48">
          <w:rPr>
            <w:noProof/>
            <w:webHidden/>
          </w:rPr>
          <w:fldChar w:fldCharType="begin"/>
        </w:r>
        <w:r w:rsidR="00136C48">
          <w:rPr>
            <w:noProof/>
            <w:webHidden/>
          </w:rPr>
          <w:instrText xml:space="preserve"> PAGEREF _Toc436754860 \h </w:instrText>
        </w:r>
        <w:r w:rsidR="00136C48">
          <w:rPr>
            <w:noProof/>
            <w:webHidden/>
          </w:rPr>
        </w:r>
        <w:r w:rsidR="00136C48">
          <w:rPr>
            <w:noProof/>
            <w:webHidden/>
          </w:rPr>
          <w:fldChar w:fldCharType="separate"/>
        </w:r>
        <w:r>
          <w:rPr>
            <w:noProof/>
            <w:webHidden/>
          </w:rPr>
          <w:t>32</w:t>
        </w:r>
        <w:r w:rsidR="00136C48">
          <w:rPr>
            <w:noProof/>
            <w:webHidden/>
          </w:rPr>
          <w:fldChar w:fldCharType="end"/>
        </w:r>
      </w:hyperlink>
    </w:p>
    <w:p w14:paraId="2FAD869F"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61" w:history="1">
        <w:r w:rsidR="00136C48" w:rsidRPr="008537B5">
          <w:rPr>
            <w:rStyle w:val="Hyperlink"/>
            <w:noProof/>
          </w:rPr>
          <w:t>8.1.2</w:t>
        </w:r>
        <w:r w:rsidR="00136C48">
          <w:rPr>
            <w:rFonts w:eastAsiaTheme="minorEastAsia" w:cstheme="minorBidi"/>
            <w:i w:val="0"/>
            <w:iCs w:val="0"/>
            <w:noProof/>
            <w:sz w:val="22"/>
            <w:szCs w:val="22"/>
            <w:lang w:eastAsia="en-GB" w:bidi="ar-SA"/>
          </w:rPr>
          <w:tab/>
        </w:r>
        <w:r w:rsidR="00136C48" w:rsidRPr="008537B5">
          <w:rPr>
            <w:rStyle w:val="Hyperlink"/>
            <w:noProof/>
          </w:rPr>
          <w:t>Cost/benefit consultation</w:t>
        </w:r>
        <w:r w:rsidR="00136C48">
          <w:rPr>
            <w:noProof/>
            <w:webHidden/>
          </w:rPr>
          <w:tab/>
        </w:r>
        <w:r w:rsidR="00136C48">
          <w:rPr>
            <w:noProof/>
            <w:webHidden/>
          </w:rPr>
          <w:fldChar w:fldCharType="begin"/>
        </w:r>
        <w:r w:rsidR="00136C48">
          <w:rPr>
            <w:noProof/>
            <w:webHidden/>
          </w:rPr>
          <w:instrText xml:space="preserve"> PAGEREF _Toc436754861 \h </w:instrText>
        </w:r>
        <w:r w:rsidR="00136C48">
          <w:rPr>
            <w:noProof/>
            <w:webHidden/>
          </w:rPr>
        </w:r>
        <w:r w:rsidR="00136C48">
          <w:rPr>
            <w:noProof/>
            <w:webHidden/>
          </w:rPr>
          <w:fldChar w:fldCharType="separate"/>
        </w:r>
        <w:r>
          <w:rPr>
            <w:noProof/>
            <w:webHidden/>
          </w:rPr>
          <w:t>33</w:t>
        </w:r>
        <w:r w:rsidR="00136C48">
          <w:rPr>
            <w:noProof/>
            <w:webHidden/>
          </w:rPr>
          <w:fldChar w:fldCharType="end"/>
        </w:r>
      </w:hyperlink>
    </w:p>
    <w:p w14:paraId="2F12493F"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62" w:history="1">
        <w:r w:rsidR="00136C48" w:rsidRPr="008537B5">
          <w:rPr>
            <w:rStyle w:val="Hyperlink"/>
            <w:noProof/>
          </w:rPr>
          <w:t>8.1.3</w:t>
        </w:r>
        <w:r w:rsidR="00136C48">
          <w:rPr>
            <w:rFonts w:eastAsiaTheme="minorEastAsia" w:cstheme="minorBidi"/>
            <w:i w:val="0"/>
            <w:iCs w:val="0"/>
            <w:noProof/>
            <w:sz w:val="22"/>
            <w:szCs w:val="22"/>
            <w:lang w:eastAsia="en-GB" w:bidi="ar-SA"/>
          </w:rPr>
          <w:tab/>
        </w:r>
        <w:r w:rsidR="00136C48" w:rsidRPr="008537B5">
          <w:rPr>
            <w:rStyle w:val="Hyperlink"/>
            <w:noProof/>
          </w:rPr>
          <w:t>Food enforcement consultation</w:t>
        </w:r>
        <w:r w:rsidR="00136C48">
          <w:rPr>
            <w:noProof/>
            <w:webHidden/>
          </w:rPr>
          <w:tab/>
        </w:r>
        <w:r w:rsidR="00136C48">
          <w:rPr>
            <w:noProof/>
            <w:webHidden/>
          </w:rPr>
          <w:fldChar w:fldCharType="begin"/>
        </w:r>
        <w:r w:rsidR="00136C48">
          <w:rPr>
            <w:noProof/>
            <w:webHidden/>
          </w:rPr>
          <w:instrText xml:space="preserve"> PAGEREF _Toc436754862 \h </w:instrText>
        </w:r>
        <w:r w:rsidR="00136C48">
          <w:rPr>
            <w:noProof/>
            <w:webHidden/>
          </w:rPr>
        </w:r>
        <w:r w:rsidR="00136C48">
          <w:rPr>
            <w:noProof/>
            <w:webHidden/>
          </w:rPr>
          <w:fldChar w:fldCharType="separate"/>
        </w:r>
        <w:r>
          <w:rPr>
            <w:noProof/>
            <w:webHidden/>
          </w:rPr>
          <w:t>34</w:t>
        </w:r>
        <w:r w:rsidR="00136C48">
          <w:rPr>
            <w:noProof/>
            <w:webHidden/>
          </w:rPr>
          <w:fldChar w:fldCharType="end"/>
        </w:r>
      </w:hyperlink>
    </w:p>
    <w:p w14:paraId="6B90B44D" w14:textId="77777777" w:rsidR="00136C48" w:rsidRDefault="006E5547">
      <w:pPr>
        <w:pStyle w:val="TOC3"/>
        <w:tabs>
          <w:tab w:val="left" w:pos="1100"/>
          <w:tab w:val="right" w:leader="dot" w:pos="9060"/>
        </w:tabs>
        <w:rPr>
          <w:rFonts w:eastAsiaTheme="minorEastAsia" w:cstheme="minorBidi"/>
          <w:i w:val="0"/>
          <w:iCs w:val="0"/>
          <w:noProof/>
          <w:sz w:val="22"/>
          <w:szCs w:val="22"/>
          <w:lang w:eastAsia="en-GB" w:bidi="ar-SA"/>
        </w:rPr>
      </w:pPr>
      <w:hyperlink w:anchor="_Toc436754863" w:history="1">
        <w:r w:rsidR="00136C48" w:rsidRPr="008537B5">
          <w:rPr>
            <w:rStyle w:val="Hyperlink"/>
            <w:noProof/>
          </w:rPr>
          <w:t>8.1.4</w:t>
        </w:r>
        <w:r w:rsidR="00136C48">
          <w:rPr>
            <w:rFonts w:eastAsiaTheme="minorEastAsia" w:cstheme="minorBidi"/>
            <w:i w:val="0"/>
            <w:iCs w:val="0"/>
            <w:noProof/>
            <w:sz w:val="22"/>
            <w:szCs w:val="22"/>
            <w:lang w:eastAsia="en-GB" w:bidi="ar-SA"/>
          </w:rPr>
          <w:tab/>
        </w:r>
        <w:r w:rsidR="00136C48" w:rsidRPr="008537B5">
          <w:rPr>
            <w:rStyle w:val="Hyperlink"/>
            <w:noProof/>
          </w:rPr>
          <w:t>Future consultation</w:t>
        </w:r>
        <w:r w:rsidR="00136C48">
          <w:rPr>
            <w:noProof/>
            <w:webHidden/>
          </w:rPr>
          <w:tab/>
        </w:r>
        <w:r w:rsidR="00136C48">
          <w:rPr>
            <w:noProof/>
            <w:webHidden/>
          </w:rPr>
          <w:fldChar w:fldCharType="begin"/>
        </w:r>
        <w:r w:rsidR="00136C48">
          <w:rPr>
            <w:noProof/>
            <w:webHidden/>
          </w:rPr>
          <w:instrText xml:space="preserve"> PAGEREF _Toc436754863 \h </w:instrText>
        </w:r>
        <w:r w:rsidR="00136C48">
          <w:rPr>
            <w:noProof/>
            <w:webHidden/>
          </w:rPr>
        </w:r>
        <w:r w:rsidR="00136C48">
          <w:rPr>
            <w:noProof/>
            <w:webHidden/>
          </w:rPr>
          <w:fldChar w:fldCharType="separate"/>
        </w:r>
        <w:r>
          <w:rPr>
            <w:noProof/>
            <w:webHidden/>
          </w:rPr>
          <w:t>34</w:t>
        </w:r>
        <w:r w:rsidR="00136C48">
          <w:rPr>
            <w:noProof/>
            <w:webHidden/>
          </w:rPr>
          <w:fldChar w:fldCharType="end"/>
        </w:r>
      </w:hyperlink>
    </w:p>
    <w:p w14:paraId="2961D394" w14:textId="77777777" w:rsidR="00136C48" w:rsidRDefault="006E5547">
      <w:pPr>
        <w:pStyle w:val="TOC2"/>
        <w:tabs>
          <w:tab w:val="left" w:pos="880"/>
          <w:tab w:val="right" w:leader="dot" w:pos="9060"/>
        </w:tabs>
        <w:rPr>
          <w:rFonts w:eastAsiaTheme="minorEastAsia" w:cstheme="minorBidi"/>
          <w:smallCaps w:val="0"/>
          <w:noProof/>
          <w:sz w:val="22"/>
          <w:szCs w:val="22"/>
          <w:lang w:eastAsia="en-GB" w:bidi="ar-SA"/>
        </w:rPr>
      </w:pPr>
      <w:hyperlink w:anchor="_Toc436754864" w:history="1">
        <w:r w:rsidR="00136C48" w:rsidRPr="008537B5">
          <w:rPr>
            <w:rStyle w:val="Hyperlink"/>
            <w:noProof/>
          </w:rPr>
          <w:t>8.2</w:t>
        </w:r>
        <w:r w:rsidR="00136C48">
          <w:rPr>
            <w:rFonts w:eastAsiaTheme="minorEastAsia" w:cstheme="minorBidi"/>
            <w:smallCaps w:val="0"/>
            <w:noProof/>
            <w:sz w:val="22"/>
            <w:szCs w:val="22"/>
            <w:lang w:eastAsia="en-GB" w:bidi="ar-SA"/>
          </w:rPr>
          <w:tab/>
        </w:r>
        <w:r w:rsidR="00136C48" w:rsidRPr="008537B5">
          <w:rPr>
            <w:rStyle w:val="Hyperlink"/>
            <w:noProof/>
          </w:rPr>
          <w:t>World Trade Organization (WTO)</w:t>
        </w:r>
        <w:r w:rsidR="00136C48">
          <w:rPr>
            <w:noProof/>
            <w:webHidden/>
          </w:rPr>
          <w:tab/>
        </w:r>
        <w:r w:rsidR="00136C48">
          <w:rPr>
            <w:noProof/>
            <w:webHidden/>
          </w:rPr>
          <w:fldChar w:fldCharType="begin"/>
        </w:r>
        <w:r w:rsidR="00136C48">
          <w:rPr>
            <w:noProof/>
            <w:webHidden/>
          </w:rPr>
          <w:instrText xml:space="preserve"> PAGEREF _Toc436754864 \h </w:instrText>
        </w:r>
        <w:r w:rsidR="00136C48">
          <w:rPr>
            <w:noProof/>
            <w:webHidden/>
          </w:rPr>
        </w:r>
        <w:r w:rsidR="00136C48">
          <w:rPr>
            <w:noProof/>
            <w:webHidden/>
          </w:rPr>
          <w:fldChar w:fldCharType="separate"/>
        </w:r>
        <w:r>
          <w:rPr>
            <w:noProof/>
            <w:webHidden/>
          </w:rPr>
          <w:t>34</w:t>
        </w:r>
        <w:r w:rsidR="00136C48">
          <w:rPr>
            <w:noProof/>
            <w:webHidden/>
          </w:rPr>
          <w:fldChar w:fldCharType="end"/>
        </w:r>
      </w:hyperlink>
    </w:p>
    <w:p w14:paraId="28FE93EF" w14:textId="77777777" w:rsidR="00136C48" w:rsidRDefault="006E5547">
      <w:pPr>
        <w:pStyle w:val="TOC2"/>
        <w:tabs>
          <w:tab w:val="right" w:leader="dot" w:pos="9060"/>
        </w:tabs>
        <w:rPr>
          <w:rFonts w:eastAsiaTheme="minorEastAsia" w:cstheme="minorBidi"/>
          <w:smallCaps w:val="0"/>
          <w:noProof/>
          <w:sz w:val="22"/>
          <w:szCs w:val="22"/>
          <w:lang w:eastAsia="en-GB" w:bidi="ar-SA"/>
        </w:rPr>
      </w:pPr>
      <w:hyperlink w:anchor="_Toc436754865" w:history="1">
        <w:r w:rsidR="00136C48" w:rsidRPr="008537B5">
          <w:rPr>
            <w:rStyle w:val="Hyperlink"/>
            <w:noProof/>
          </w:rPr>
          <w:t>Attachment A – Summary of questions for submitters</w:t>
        </w:r>
        <w:r w:rsidR="00136C48">
          <w:rPr>
            <w:noProof/>
            <w:webHidden/>
          </w:rPr>
          <w:tab/>
        </w:r>
        <w:r w:rsidR="00136C48">
          <w:rPr>
            <w:noProof/>
            <w:webHidden/>
          </w:rPr>
          <w:fldChar w:fldCharType="begin"/>
        </w:r>
        <w:r w:rsidR="00136C48">
          <w:rPr>
            <w:noProof/>
            <w:webHidden/>
          </w:rPr>
          <w:instrText xml:space="preserve"> PAGEREF _Toc436754865 \h </w:instrText>
        </w:r>
        <w:r w:rsidR="00136C48">
          <w:rPr>
            <w:noProof/>
            <w:webHidden/>
          </w:rPr>
        </w:r>
        <w:r w:rsidR="00136C48">
          <w:rPr>
            <w:noProof/>
            <w:webHidden/>
          </w:rPr>
          <w:fldChar w:fldCharType="separate"/>
        </w:r>
        <w:r>
          <w:rPr>
            <w:noProof/>
            <w:webHidden/>
          </w:rPr>
          <w:t>36</w:t>
        </w:r>
        <w:r w:rsidR="00136C48">
          <w:rPr>
            <w:noProof/>
            <w:webHidden/>
          </w:rPr>
          <w:fldChar w:fldCharType="end"/>
        </w:r>
      </w:hyperlink>
    </w:p>
    <w:p w14:paraId="497DF005" w14:textId="77777777" w:rsidR="00136C48" w:rsidRDefault="006E5547">
      <w:pPr>
        <w:pStyle w:val="TOC2"/>
        <w:tabs>
          <w:tab w:val="right" w:leader="dot" w:pos="9060"/>
        </w:tabs>
        <w:rPr>
          <w:rFonts w:eastAsiaTheme="minorEastAsia" w:cstheme="minorBidi"/>
          <w:smallCaps w:val="0"/>
          <w:noProof/>
          <w:sz w:val="22"/>
          <w:szCs w:val="22"/>
          <w:lang w:eastAsia="en-GB" w:bidi="ar-SA"/>
        </w:rPr>
      </w:pPr>
      <w:hyperlink w:anchor="_Toc436754866" w:history="1">
        <w:r w:rsidR="00136C48" w:rsidRPr="008537B5">
          <w:rPr>
            <w:rStyle w:val="Hyperlink"/>
            <w:noProof/>
            <w:u w:color="FFFF00"/>
          </w:rPr>
          <w:t xml:space="preserve">Attachment B – </w:t>
        </w:r>
        <w:r w:rsidR="00136C48" w:rsidRPr="008537B5">
          <w:rPr>
            <w:rStyle w:val="Hyperlink"/>
            <w:noProof/>
          </w:rPr>
          <w:t>Case study: Removing novel food from the market</w:t>
        </w:r>
        <w:r w:rsidR="00136C48">
          <w:rPr>
            <w:noProof/>
            <w:webHidden/>
          </w:rPr>
          <w:tab/>
        </w:r>
        <w:r w:rsidR="00136C48">
          <w:rPr>
            <w:noProof/>
            <w:webHidden/>
          </w:rPr>
          <w:fldChar w:fldCharType="begin"/>
        </w:r>
        <w:r w:rsidR="00136C48">
          <w:rPr>
            <w:noProof/>
            <w:webHidden/>
          </w:rPr>
          <w:instrText xml:space="preserve"> PAGEREF _Toc436754866 \h </w:instrText>
        </w:r>
        <w:r w:rsidR="00136C48">
          <w:rPr>
            <w:noProof/>
            <w:webHidden/>
          </w:rPr>
        </w:r>
        <w:r w:rsidR="00136C48">
          <w:rPr>
            <w:noProof/>
            <w:webHidden/>
          </w:rPr>
          <w:fldChar w:fldCharType="separate"/>
        </w:r>
        <w:r>
          <w:rPr>
            <w:noProof/>
            <w:webHidden/>
          </w:rPr>
          <w:t>39</w:t>
        </w:r>
        <w:r w:rsidR="00136C48">
          <w:rPr>
            <w:noProof/>
            <w:webHidden/>
          </w:rPr>
          <w:fldChar w:fldCharType="end"/>
        </w:r>
      </w:hyperlink>
    </w:p>
    <w:p w14:paraId="7F6DD27E" w14:textId="77777777" w:rsidR="00136C48" w:rsidRDefault="006E5547">
      <w:pPr>
        <w:pStyle w:val="TOC2"/>
        <w:tabs>
          <w:tab w:val="right" w:leader="dot" w:pos="9060"/>
        </w:tabs>
        <w:rPr>
          <w:rFonts w:eastAsiaTheme="minorEastAsia" w:cstheme="minorBidi"/>
          <w:smallCaps w:val="0"/>
          <w:noProof/>
          <w:sz w:val="22"/>
          <w:szCs w:val="22"/>
          <w:lang w:eastAsia="en-GB" w:bidi="ar-SA"/>
        </w:rPr>
      </w:pPr>
      <w:hyperlink w:anchor="_Toc436754867" w:history="1">
        <w:r w:rsidR="00136C48" w:rsidRPr="008537B5">
          <w:rPr>
            <w:rStyle w:val="Hyperlink"/>
            <w:noProof/>
          </w:rPr>
          <w:t xml:space="preserve">Attachment C – </w:t>
        </w:r>
        <w:r w:rsidR="00136C48" w:rsidRPr="008537B5">
          <w:rPr>
            <w:rStyle w:val="Hyperlink"/>
            <w:noProof/>
            <w:u w:color="FFFF00"/>
          </w:rPr>
          <w:t>Draft framework for alternative approach – Option 3</w:t>
        </w:r>
        <w:r w:rsidR="00136C48">
          <w:rPr>
            <w:noProof/>
            <w:webHidden/>
          </w:rPr>
          <w:tab/>
        </w:r>
        <w:r w:rsidR="00136C48">
          <w:rPr>
            <w:noProof/>
            <w:webHidden/>
          </w:rPr>
          <w:fldChar w:fldCharType="begin"/>
        </w:r>
        <w:r w:rsidR="00136C48">
          <w:rPr>
            <w:noProof/>
            <w:webHidden/>
          </w:rPr>
          <w:instrText xml:space="preserve"> PAGEREF _Toc436754867 \h </w:instrText>
        </w:r>
        <w:r w:rsidR="00136C48">
          <w:rPr>
            <w:noProof/>
            <w:webHidden/>
          </w:rPr>
        </w:r>
        <w:r w:rsidR="00136C48">
          <w:rPr>
            <w:noProof/>
            <w:webHidden/>
          </w:rPr>
          <w:fldChar w:fldCharType="separate"/>
        </w:r>
        <w:r>
          <w:rPr>
            <w:noProof/>
            <w:webHidden/>
          </w:rPr>
          <w:t>40</w:t>
        </w:r>
        <w:r w:rsidR="00136C48">
          <w:rPr>
            <w:noProof/>
            <w:webHidden/>
          </w:rPr>
          <w:fldChar w:fldCharType="end"/>
        </w:r>
      </w:hyperlink>
    </w:p>
    <w:p w14:paraId="33313472" w14:textId="77777777" w:rsidR="00136C48" w:rsidRDefault="006E5547">
      <w:pPr>
        <w:pStyle w:val="TOC3"/>
        <w:tabs>
          <w:tab w:val="right" w:leader="dot" w:pos="9060"/>
        </w:tabs>
        <w:rPr>
          <w:rFonts w:eastAsiaTheme="minorEastAsia" w:cstheme="minorBidi"/>
          <w:i w:val="0"/>
          <w:iCs w:val="0"/>
          <w:noProof/>
          <w:sz w:val="22"/>
          <w:szCs w:val="22"/>
          <w:lang w:eastAsia="en-GB" w:bidi="ar-SA"/>
        </w:rPr>
      </w:pPr>
      <w:hyperlink w:anchor="_Toc436754868" w:history="1">
        <w:r w:rsidR="00136C48" w:rsidRPr="008537B5">
          <w:rPr>
            <w:rStyle w:val="Hyperlink"/>
            <w:noProof/>
            <w:u w:color="FFFF00"/>
          </w:rPr>
          <w:t>Eligible Food Criteria</w:t>
        </w:r>
        <w:r w:rsidR="00136C48">
          <w:rPr>
            <w:noProof/>
            <w:webHidden/>
          </w:rPr>
          <w:tab/>
        </w:r>
        <w:r w:rsidR="00136C48">
          <w:rPr>
            <w:noProof/>
            <w:webHidden/>
          </w:rPr>
          <w:fldChar w:fldCharType="begin"/>
        </w:r>
        <w:r w:rsidR="00136C48">
          <w:rPr>
            <w:noProof/>
            <w:webHidden/>
          </w:rPr>
          <w:instrText xml:space="preserve"> PAGEREF _Toc436754868 \h </w:instrText>
        </w:r>
        <w:r w:rsidR="00136C48">
          <w:rPr>
            <w:noProof/>
            <w:webHidden/>
          </w:rPr>
        </w:r>
        <w:r w:rsidR="00136C48">
          <w:rPr>
            <w:noProof/>
            <w:webHidden/>
          </w:rPr>
          <w:fldChar w:fldCharType="separate"/>
        </w:r>
        <w:r>
          <w:rPr>
            <w:noProof/>
            <w:webHidden/>
          </w:rPr>
          <w:t>40</w:t>
        </w:r>
        <w:r w:rsidR="00136C48">
          <w:rPr>
            <w:noProof/>
            <w:webHidden/>
          </w:rPr>
          <w:fldChar w:fldCharType="end"/>
        </w:r>
      </w:hyperlink>
    </w:p>
    <w:p w14:paraId="01B5B8E2" w14:textId="77777777" w:rsidR="00136C48" w:rsidRDefault="006E5547">
      <w:pPr>
        <w:pStyle w:val="TOC3"/>
        <w:tabs>
          <w:tab w:val="right" w:leader="dot" w:pos="9060"/>
        </w:tabs>
        <w:rPr>
          <w:rFonts w:eastAsiaTheme="minorEastAsia" w:cstheme="minorBidi"/>
          <w:i w:val="0"/>
          <w:iCs w:val="0"/>
          <w:noProof/>
          <w:sz w:val="22"/>
          <w:szCs w:val="22"/>
          <w:lang w:eastAsia="en-GB" w:bidi="ar-SA"/>
        </w:rPr>
      </w:pPr>
      <w:hyperlink w:anchor="_Toc436754869" w:history="1">
        <w:r w:rsidR="00136C48" w:rsidRPr="008537B5">
          <w:rPr>
            <w:rStyle w:val="Hyperlink"/>
            <w:noProof/>
            <w:u w:color="FFFF00"/>
          </w:rPr>
          <w:t>Industry self-assessment</w:t>
        </w:r>
        <w:r w:rsidR="00136C48">
          <w:rPr>
            <w:noProof/>
            <w:webHidden/>
          </w:rPr>
          <w:tab/>
        </w:r>
        <w:r w:rsidR="00136C48">
          <w:rPr>
            <w:noProof/>
            <w:webHidden/>
          </w:rPr>
          <w:fldChar w:fldCharType="begin"/>
        </w:r>
        <w:r w:rsidR="00136C48">
          <w:rPr>
            <w:noProof/>
            <w:webHidden/>
          </w:rPr>
          <w:instrText xml:space="preserve"> PAGEREF _Toc436754869 \h </w:instrText>
        </w:r>
        <w:r w:rsidR="00136C48">
          <w:rPr>
            <w:noProof/>
            <w:webHidden/>
          </w:rPr>
        </w:r>
        <w:r w:rsidR="00136C48">
          <w:rPr>
            <w:noProof/>
            <w:webHidden/>
          </w:rPr>
          <w:fldChar w:fldCharType="separate"/>
        </w:r>
        <w:r>
          <w:rPr>
            <w:noProof/>
            <w:webHidden/>
          </w:rPr>
          <w:t>41</w:t>
        </w:r>
        <w:r w:rsidR="00136C48">
          <w:rPr>
            <w:noProof/>
            <w:webHidden/>
          </w:rPr>
          <w:fldChar w:fldCharType="end"/>
        </w:r>
      </w:hyperlink>
    </w:p>
    <w:p w14:paraId="338263CF" w14:textId="77777777" w:rsidR="00136C48" w:rsidRDefault="006E5547">
      <w:pPr>
        <w:pStyle w:val="TOC3"/>
        <w:tabs>
          <w:tab w:val="right" w:leader="dot" w:pos="9060"/>
        </w:tabs>
        <w:rPr>
          <w:rFonts w:eastAsiaTheme="minorEastAsia" w:cstheme="minorBidi"/>
          <w:i w:val="0"/>
          <w:iCs w:val="0"/>
          <w:noProof/>
          <w:sz w:val="22"/>
          <w:szCs w:val="22"/>
          <w:lang w:eastAsia="en-GB" w:bidi="ar-SA"/>
        </w:rPr>
      </w:pPr>
      <w:hyperlink w:anchor="_Toc436754870" w:history="1">
        <w:r w:rsidR="00136C48" w:rsidRPr="008537B5">
          <w:rPr>
            <w:rStyle w:val="Hyperlink"/>
            <w:noProof/>
            <w:u w:color="FFFF00"/>
          </w:rPr>
          <w:t>Dossier requirements</w:t>
        </w:r>
        <w:r w:rsidR="00136C48">
          <w:rPr>
            <w:noProof/>
            <w:webHidden/>
          </w:rPr>
          <w:tab/>
        </w:r>
        <w:r w:rsidR="00136C48">
          <w:rPr>
            <w:noProof/>
            <w:webHidden/>
          </w:rPr>
          <w:fldChar w:fldCharType="begin"/>
        </w:r>
        <w:r w:rsidR="00136C48">
          <w:rPr>
            <w:noProof/>
            <w:webHidden/>
          </w:rPr>
          <w:instrText xml:space="preserve"> PAGEREF _Toc436754870 \h </w:instrText>
        </w:r>
        <w:r w:rsidR="00136C48">
          <w:rPr>
            <w:noProof/>
            <w:webHidden/>
          </w:rPr>
        </w:r>
        <w:r w:rsidR="00136C48">
          <w:rPr>
            <w:noProof/>
            <w:webHidden/>
          </w:rPr>
          <w:fldChar w:fldCharType="separate"/>
        </w:r>
        <w:r>
          <w:rPr>
            <w:noProof/>
            <w:webHidden/>
          </w:rPr>
          <w:t>42</w:t>
        </w:r>
        <w:r w:rsidR="00136C48">
          <w:rPr>
            <w:noProof/>
            <w:webHidden/>
          </w:rPr>
          <w:fldChar w:fldCharType="end"/>
        </w:r>
      </w:hyperlink>
    </w:p>
    <w:p w14:paraId="2C3BCE66" w14:textId="77777777" w:rsidR="00136C48" w:rsidRDefault="006E5547">
      <w:pPr>
        <w:pStyle w:val="TOC3"/>
        <w:tabs>
          <w:tab w:val="right" w:leader="dot" w:pos="9060"/>
        </w:tabs>
        <w:rPr>
          <w:rFonts w:eastAsiaTheme="minorEastAsia" w:cstheme="minorBidi"/>
          <w:i w:val="0"/>
          <w:iCs w:val="0"/>
          <w:noProof/>
          <w:sz w:val="22"/>
          <w:szCs w:val="22"/>
          <w:lang w:eastAsia="en-GB" w:bidi="ar-SA"/>
        </w:rPr>
      </w:pPr>
      <w:hyperlink w:anchor="_Toc436754871" w:history="1">
        <w:r w:rsidR="00136C48" w:rsidRPr="008537B5">
          <w:rPr>
            <w:rStyle w:val="Hyperlink"/>
            <w:noProof/>
            <w:u w:color="FFFF00"/>
          </w:rPr>
          <w:t>Publication of dossiers</w:t>
        </w:r>
        <w:r w:rsidR="00136C48">
          <w:rPr>
            <w:noProof/>
            <w:webHidden/>
          </w:rPr>
          <w:tab/>
        </w:r>
        <w:r w:rsidR="00136C48">
          <w:rPr>
            <w:noProof/>
            <w:webHidden/>
          </w:rPr>
          <w:fldChar w:fldCharType="begin"/>
        </w:r>
        <w:r w:rsidR="00136C48">
          <w:rPr>
            <w:noProof/>
            <w:webHidden/>
          </w:rPr>
          <w:instrText xml:space="preserve"> PAGEREF _Toc436754871 \h </w:instrText>
        </w:r>
        <w:r w:rsidR="00136C48">
          <w:rPr>
            <w:noProof/>
            <w:webHidden/>
          </w:rPr>
        </w:r>
        <w:r w:rsidR="00136C48">
          <w:rPr>
            <w:noProof/>
            <w:webHidden/>
          </w:rPr>
          <w:fldChar w:fldCharType="separate"/>
        </w:r>
        <w:r>
          <w:rPr>
            <w:noProof/>
            <w:webHidden/>
          </w:rPr>
          <w:t>42</w:t>
        </w:r>
        <w:r w:rsidR="00136C48">
          <w:rPr>
            <w:noProof/>
            <w:webHidden/>
          </w:rPr>
          <w:fldChar w:fldCharType="end"/>
        </w:r>
      </w:hyperlink>
    </w:p>
    <w:p w14:paraId="0D69F381" w14:textId="77777777" w:rsidR="00136C48" w:rsidRDefault="006E5547">
      <w:pPr>
        <w:pStyle w:val="TOC3"/>
        <w:tabs>
          <w:tab w:val="right" w:leader="dot" w:pos="9060"/>
        </w:tabs>
        <w:rPr>
          <w:rFonts w:eastAsiaTheme="minorEastAsia" w:cstheme="minorBidi"/>
          <w:i w:val="0"/>
          <w:iCs w:val="0"/>
          <w:noProof/>
          <w:sz w:val="22"/>
          <w:szCs w:val="22"/>
          <w:lang w:eastAsia="en-GB" w:bidi="ar-SA"/>
        </w:rPr>
      </w:pPr>
      <w:hyperlink w:anchor="_Toc436754872" w:history="1">
        <w:r w:rsidR="00136C48" w:rsidRPr="008537B5">
          <w:rPr>
            <w:rStyle w:val="Hyperlink"/>
            <w:noProof/>
            <w:u w:color="FFFF00"/>
          </w:rPr>
          <w:t>Other matters related to draft framework</w:t>
        </w:r>
        <w:r w:rsidR="00136C48">
          <w:rPr>
            <w:noProof/>
            <w:webHidden/>
          </w:rPr>
          <w:tab/>
        </w:r>
        <w:r w:rsidR="00136C48">
          <w:rPr>
            <w:noProof/>
            <w:webHidden/>
          </w:rPr>
          <w:fldChar w:fldCharType="begin"/>
        </w:r>
        <w:r w:rsidR="00136C48">
          <w:rPr>
            <w:noProof/>
            <w:webHidden/>
          </w:rPr>
          <w:instrText xml:space="preserve"> PAGEREF _Toc436754872 \h </w:instrText>
        </w:r>
        <w:r w:rsidR="00136C48">
          <w:rPr>
            <w:noProof/>
            <w:webHidden/>
          </w:rPr>
        </w:r>
        <w:r w:rsidR="00136C48">
          <w:rPr>
            <w:noProof/>
            <w:webHidden/>
          </w:rPr>
          <w:fldChar w:fldCharType="separate"/>
        </w:r>
        <w:r>
          <w:rPr>
            <w:noProof/>
            <w:webHidden/>
          </w:rPr>
          <w:t>43</w:t>
        </w:r>
        <w:r w:rsidR="00136C48">
          <w:rPr>
            <w:noProof/>
            <w:webHidden/>
          </w:rPr>
          <w:fldChar w:fldCharType="end"/>
        </w:r>
      </w:hyperlink>
    </w:p>
    <w:p w14:paraId="34AF442D" w14:textId="77777777" w:rsidR="00136C48" w:rsidRDefault="006E5547">
      <w:pPr>
        <w:pStyle w:val="TOC2"/>
        <w:tabs>
          <w:tab w:val="right" w:leader="dot" w:pos="9060"/>
        </w:tabs>
        <w:rPr>
          <w:rFonts w:eastAsiaTheme="minorEastAsia" w:cstheme="minorBidi"/>
          <w:smallCaps w:val="0"/>
          <w:noProof/>
          <w:sz w:val="22"/>
          <w:szCs w:val="22"/>
          <w:lang w:eastAsia="en-GB" w:bidi="ar-SA"/>
        </w:rPr>
      </w:pPr>
      <w:hyperlink w:anchor="_Toc436754873" w:history="1">
        <w:r w:rsidR="00136C48" w:rsidRPr="008537B5">
          <w:rPr>
            <w:rStyle w:val="Hyperlink"/>
            <w:noProof/>
            <w:u w:color="FFFF00"/>
          </w:rPr>
          <w:t xml:space="preserve">Attachment D − </w:t>
        </w:r>
        <w:r w:rsidR="00136C48" w:rsidRPr="008537B5">
          <w:rPr>
            <w:rStyle w:val="Hyperlink"/>
            <w:noProof/>
          </w:rPr>
          <w:t>Code provisions for nutritive substances and novel foods</w:t>
        </w:r>
        <w:r w:rsidR="00136C48">
          <w:rPr>
            <w:noProof/>
            <w:webHidden/>
          </w:rPr>
          <w:tab/>
        </w:r>
        <w:r w:rsidR="00136C48">
          <w:rPr>
            <w:noProof/>
            <w:webHidden/>
          </w:rPr>
          <w:fldChar w:fldCharType="begin"/>
        </w:r>
        <w:r w:rsidR="00136C48">
          <w:rPr>
            <w:noProof/>
            <w:webHidden/>
          </w:rPr>
          <w:instrText xml:space="preserve"> PAGEREF _Toc436754873 \h </w:instrText>
        </w:r>
        <w:r w:rsidR="00136C48">
          <w:rPr>
            <w:noProof/>
            <w:webHidden/>
          </w:rPr>
        </w:r>
        <w:r w:rsidR="00136C48">
          <w:rPr>
            <w:noProof/>
            <w:webHidden/>
          </w:rPr>
          <w:fldChar w:fldCharType="separate"/>
        </w:r>
        <w:r>
          <w:rPr>
            <w:noProof/>
            <w:webHidden/>
          </w:rPr>
          <w:t>46</w:t>
        </w:r>
        <w:r w:rsidR="00136C48">
          <w:rPr>
            <w:noProof/>
            <w:webHidden/>
          </w:rPr>
          <w:fldChar w:fldCharType="end"/>
        </w:r>
      </w:hyperlink>
    </w:p>
    <w:p w14:paraId="42D7418C" w14:textId="77777777" w:rsidR="00136C48" w:rsidRDefault="006E5547">
      <w:pPr>
        <w:pStyle w:val="TOC3"/>
        <w:tabs>
          <w:tab w:val="right" w:leader="dot" w:pos="9060"/>
        </w:tabs>
        <w:rPr>
          <w:rFonts w:eastAsiaTheme="minorEastAsia" w:cstheme="minorBidi"/>
          <w:i w:val="0"/>
          <w:iCs w:val="0"/>
          <w:noProof/>
          <w:sz w:val="22"/>
          <w:szCs w:val="22"/>
          <w:lang w:eastAsia="en-GB" w:bidi="ar-SA"/>
        </w:rPr>
      </w:pPr>
      <w:hyperlink w:anchor="_Toc436754874" w:history="1">
        <w:r w:rsidR="00136C48" w:rsidRPr="008537B5">
          <w:rPr>
            <w:rStyle w:val="Hyperlink"/>
            <w:noProof/>
          </w:rPr>
          <w:t>Code permissions for nutritive substances and novel foods</w:t>
        </w:r>
        <w:r w:rsidR="00136C48">
          <w:rPr>
            <w:noProof/>
            <w:webHidden/>
          </w:rPr>
          <w:tab/>
        </w:r>
        <w:r w:rsidR="00136C48">
          <w:rPr>
            <w:noProof/>
            <w:webHidden/>
          </w:rPr>
          <w:fldChar w:fldCharType="begin"/>
        </w:r>
        <w:r w:rsidR="00136C48">
          <w:rPr>
            <w:noProof/>
            <w:webHidden/>
          </w:rPr>
          <w:instrText xml:space="preserve"> PAGEREF _Toc436754874 \h </w:instrText>
        </w:r>
        <w:r w:rsidR="00136C48">
          <w:rPr>
            <w:noProof/>
            <w:webHidden/>
          </w:rPr>
        </w:r>
        <w:r w:rsidR="00136C48">
          <w:rPr>
            <w:noProof/>
            <w:webHidden/>
          </w:rPr>
          <w:fldChar w:fldCharType="separate"/>
        </w:r>
        <w:r>
          <w:rPr>
            <w:noProof/>
            <w:webHidden/>
          </w:rPr>
          <w:t>46</w:t>
        </w:r>
        <w:r w:rsidR="00136C48">
          <w:rPr>
            <w:noProof/>
            <w:webHidden/>
          </w:rPr>
          <w:fldChar w:fldCharType="end"/>
        </w:r>
      </w:hyperlink>
    </w:p>
    <w:p w14:paraId="35FBAF7F" w14:textId="19382F7F" w:rsidR="00051ED9" w:rsidRDefault="00051ED9" w:rsidP="00051ED9">
      <w:r w:rsidRPr="00AE766D">
        <w:rPr>
          <w:rFonts w:cs="Arial"/>
        </w:rPr>
        <w:fldChar w:fldCharType="end"/>
      </w:r>
    </w:p>
    <w:p w14:paraId="13887787" w14:textId="77777777" w:rsidR="00D73931" w:rsidRPr="00E203C2" w:rsidRDefault="00D73931" w:rsidP="00051ED9"/>
    <w:p w14:paraId="755E2818" w14:textId="77777777" w:rsidR="0037520F" w:rsidRPr="008844E4" w:rsidRDefault="0037520F" w:rsidP="0037520F">
      <w:pPr>
        <w:rPr>
          <w:b/>
          <w:szCs w:val="22"/>
        </w:rPr>
      </w:pPr>
      <w:r w:rsidRPr="008844E4">
        <w:rPr>
          <w:b/>
          <w:szCs w:val="22"/>
        </w:rPr>
        <w:t>Supporting documents</w:t>
      </w:r>
    </w:p>
    <w:p w14:paraId="38350772" w14:textId="77777777" w:rsidR="0037520F" w:rsidRPr="0089264A" w:rsidRDefault="0037520F" w:rsidP="0037520F">
      <w:pPr>
        <w:rPr>
          <w:szCs w:val="22"/>
        </w:rPr>
      </w:pPr>
    </w:p>
    <w:p w14:paraId="656B7B73" w14:textId="77777777" w:rsidR="0037520F" w:rsidRPr="0089264A" w:rsidRDefault="0037520F" w:rsidP="0037520F">
      <w:pPr>
        <w:rPr>
          <w:color w:val="FF0000"/>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6103FB">
        <w:rPr>
          <w:szCs w:val="22"/>
        </w:rPr>
        <w:t>Proposal</w:t>
      </w:r>
      <w:r w:rsidRPr="006103FB">
        <w:rPr>
          <w:szCs w:val="22"/>
        </w:rPr>
        <w:t xml:space="preserve"> </w:t>
      </w:r>
      <w:r>
        <w:rPr>
          <w:szCs w:val="22"/>
        </w:rPr>
        <w:t>are</w:t>
      </w:r>
      <w:r w:rsidRPr="0089264A">
        <w:rPr>
          <w:szCs w:val="22"/>
        </w:rPr>
        <w:t xml:space="preserve"> available on the FSANZ website at</w:t>
      </w:r>
      <w:r w:rsidRPr="0089264A">
        <w:rPr>
          <w:color w:val="FF0000"/>
          <w:szCs w:val="22"/>
        </w:rPr>
        <w:t xml:space="preserve"> </w:t>
      </w:r>
      <w:hyperlink r:id="rId22" w:history="1">
        <w:r w:rsidR="000D343C" w:rsidRPr="00323848">
          <w:rPr>
            <w:rStyle w:val="Hyperlink"/>
            <w:szCs w:val="22"/>
          </w:rPr>
          <w:t>http://www.foodstandards.gov.au/code/proposals/Pages/proposalp1024revisio5756.aspx</w:t>
        </w:r>
      </w:hyperlink>
      <w:r w:rsidR="000D343C" w:rsidRPr="000D343C">
        <w:rPr>
          <w:szCs w:val="22"/>
        </w:rPr>
        <w:t>.</w:t>
      </w:r>
      <w:r w:rsidR="000D343C">
        <w:rPr>
          <w:color w:val="FF0000"/>
          <w:szCs w:val="22"/>
        </w:rPr>
        <w:t xml:space="preserve"> </w:t>
      </w:r>
    </w:p>
    <w:p w14:paraId="676BDF37" w14:textId="77777777" w:rsidR="0089264A" w:rsidRPr="0089264A" w:rsidRDefault="0089264A" w:rsidP="0089264A">
      <w:pPr>
        <w:rPr>
          <w:szCs w:val="22"/>
        </w:rPr>
      </w:pPr>
    </w:p>
    <w:p w14:paraId="305F2529" w14:textId="77777777" w:rsidR="0089264A" w:rsidRPr="0034021B" w:rsidRDefault="0089264A" w:rsidP="001542D8">
      <w:pPr>
        <w:spacing w:line="280" w:lineRule="exact"/>
        <w:ind w:left="851" w:hanging="851"/>
        <w:outlineLvl w:val="3"/>
        <w:rPr>
          <w:rFonts w:cs="Arial"/>
        </w:rPr>
      </w:pPr>
      <w:r w:rsidRPr="0034021B">
        <w:rPr>
          <w:rFonts w:cs="Arial"/>
        </w:rPr>
        <w:t>SD1</w:t>
      </w:r>
      <w:r w:rsidRPr="0034021B">
        <w:rPr>
          <w:rFonts w:cs="Arial"/>
        </w:rPr>
        <w:tab/>
      </w:r>
      <w:r w:rsidR="0034021B" w:rsidRPr="0034021B">
        <w:rPr>
          <w:rFonts w:cs="Arial"/>
        </w:rPr>
        <w:t>Qualitative Assessment of Costs and Benefits</w:t>
      </w:r>
      <w:r w:rsidR="00410E9B" w:rsidRPr="0034021B">
        <w:rPr>
          <w:rFonts w:cs="Arial"/>
        </w:rPr>
        <w:t xml:space="preserve"> </w:t>
      </w:r>
    </w:p>
    <w:p w14:paraId="4D216A1D" w14:textId="5BFAFED7" w:rsidR="00DB4E7D" w:rsidRPr="0034021B" w:rsidRDefault="00410E9B" w:rsidP="001542D8">
      <w:pPr>
        <w:spacing w:line="280" w:lineRule="exact"/>
        <w:ind w:left="851" w:hanging="851"/>
        <w:outlineLvl w:val="3"/>
        <w:rPr>
          <w:rFonts w:cs="Arial"/>
        </w:rPr>
      </w:pPr>
      <w:r w:rsidRPr="0034021B">
        <w:rPr>
          <w:rFonts w:cs="Arial"/>
        </w:rPr>
        <w:t>SD2</w:t>
      </w:r>
      <w:r w:rsidRPr="0034021B">
        <w:rPr>
          <w:rFonts w:cs="Arial"/>
        </w:rPr>
        <w:tab/>
      </w:r>
      <w:r w:rsidR="00A43A40">
        <w:rPr>
          <w:rFonts w:cs="Arial"/>
        </w:rPr>
        <w:t>Assessment of Risks and Safety Data Requirements for New Foods</w:t>
      </w:r>
      <w:r w:rsidR="002C6C75" w:rsidRPr="0034021B">
        <w:rPr>
          <w:rFonts w:cs="Arial"/>
        </w:rPr>
        <w:t xml:space="preserve"> </w:t>
      </w:r>
    </w:p>
    <w:p w14:paraId="15F0BAAC" w14:textId="77777777" w:rsidR="00410E9B" w:rsidRPr="0034021B" w:rsidRDefault="00DB4E7D" w:rsidP="00DB4E7D">
      <w:pPr>
        <w:spacing w:line="280" w:lineRule="exact"/>
        <w:ind w:left="851" w:hanging="851"/>
        <w:outlineLvl w:val="3"/>
        <w:rPr>
          <w:rFonts w:cs="Arial"/>
        </w:rPr>
      </w:pPr>
      <w:r w:rsidRPr="0034021B">
        <w:rPr>
          <w:rFonts w:cs="Arial"/>
        </w:rPr>
        <w:t>SD3</w:t>
      </w:r>
      <w:r w:rsidRPr="0034021B">
        <w:rPr>
          <w:rFonts w:cs="Arial"/>
        </w:rPr>
        <w:tab/>
      </w:r>
      <w:r w:rsidR="003921F4" w:rsidRPr="0034021B">
        <w:rPr>
          <w:rFonts w:cs="Arial"/>
        </w:rPr>
        <w:t>Eligible Food Criteria</w:t>
      </w:r>
    </w:p>
    <w:p w14:paraId="4F360DAF" w14:textId="74D1DF11" w:rsidR="00410E9B" w:rsidRDefault="00DB4E7D" w:rsidP="002C6C75">
      <w:pPr>
        <w:spacing w:line="280" w:lineRule="exact"/>
        <w:ind w:left="851" w:hanging="851"/>
        <w:outlineLvl w:val="3"/>
        <w:rPr>
          <w:rFonts w:cs="Arial"/>
        </w:rPr>
      </w:pPr>
      <w:r w:rsidRPr="0034021B">
        <w:rPr>
          <w:rFonts w:cs="Arial"/>
        </w:rPr>
        <w:t>SD4</w:t>
      </w:r>
      <w:r w:rsidR="00410E9B" w:rsidRPr="0034021B">
        <w:rPr>
          <w:rFonts w:cs="Arial"/>
        </w:rPr>
        <w:tab/>
      </w:r>
      <w:r w:rsidR="007C73AC">
        <w:rPr>
          <w:rFonts w:cs="Arial"/>
        </w:rPr>
        <w:t>Overview of International Regulatory Approaches</w:t>
      </w:r>
    </w:p>
    <w:p w14:paraId="67B7CB10" w14:textId="554BC7E0" w:rsidR="00984B3C" w:rsidRPr="0034021B" w:rsidRDefault="00984B3C" w:rsidP="002C6C75">
      <w:pPr>
        <w:spacing w:line="280" w:lineRule="exact"/>
        <w:ind w:left="851" w:hanging="851"/>
        <w:outlineLvl w:val="3"/>
        <w:rPr>
          <w:rFonts w:cs="Arial"/>
        </w:rPr>
      </w:pPr>
      <w:r>
        <w:rPr>
          <w:rFonts w:cs="Arial"/>
        </w:rPr>
        <w:t>SD5</w:t>
      </w:r>
      <w:r>
        <w:rPr>
          <w:rFonts w:cs="Arial"/>
        </w:rPr>
        <w:tab/>
        <w:t xml:space="preserve">Consideration of </w:t>
      </w:r>
      <w:r w:rsidR="007C73AC">
        <w:rPr>
          <w:rFonts w:cs="Arial"/>
        </w:rPr>
        <w:t>P</w:t>
      </w:r>
      <w:r>
        <w:rPr>
          <w:rFonts w:cs="Arial"/>
        </w:rPr>
        <w:t xml:space="preserve">olicy </w:t>
      </w:r>
      <w:r w:rsidR="007C73AC">
        <w:rPr>
          <w:rFonts w:cs="Arial"/>
        </w:rPr>
        <w:t>G</w:t>
      </w:r>
      <w:r>
        <w:rPr>
          <w:rFonts w:cs="Arial"/>
        </w:rPr>
        <w:t xml:space="preserve">uideline on </w:t>
      </w:r>
      <w:r w:rsidR="007C73AC">
        <w:rPr>
          <w:rFonts w:cs="Arial"/>
        </w:rPr>
        <w:t>S</w:t>
      </w:r>
      <w:r>
        <w:rPr>
          <w:rFonts w:cs="Arial"/>
        </w:rPr>
        <w:t xml:space="preserve">ubstances other than </w:t>
      </w:r>
      <w:r w:rsidR="007C73AC">
        <w:rPr>
          <w:rFonts w:cs="Arial"/>
        </w:rPr>
        <w:t>V</w:t>
      </w:r>
      <w:r>
        <w:rPr>
          <w:rFonts w:cs="Arial"/>
        </w:rPr>
        <w:t xml:space="preserve">itamins and </w:t>
      </w:r>
      <w:r w:rsidR="007C73AC">
        <w:rPr>
          <w:rFonts w:cs="Arial"/>
        </w:rPr>
        <w:t>M</w:t>
      </w:r>
      <w:r>
        <w:rPr>
          <w:rFonts w:cs="Arial"/>
        </w:rPr>
        <w:t xml:space="preserve">inerals </w:t>
      </w:r>
    </w:p>
    <w:p w14:paraId="10F61283" w14:textId="77777777" w:rsidR="002677DC" w:rsidRPr="0034021B" w:rsidRDefault="002677DC">
      <w:pPr>
        <w:widowControl/>
        <w:rPr>
          <w:rFonts w:cs="Arial"/>
        </w:rPr>
      </w:pPr>
      <w:r w:rsidRPr="0034021B">
        <w:rPr>
          <w:rFonts w:cs="Arial"/>
        </w:rPr>
        <w:br w:type="page"/>
      </w:r>
    </w:p>
    <w:p w14:paraId="4B30DC11" w14:textId="36EC5373" w:rsidR="00E063C6" w:rsidRDefault="0037520F" w:rsidP="002677DC">
      <w:pPr>
        <w:pStyle w:val="Heading1"/>
      </w:pPr>
      <w:bookmarkStart w:id="1" w:name="_Toc286391001"/>
      <w:bookmarkStart w:id="2" w:name="_Toc300933414"/>
      <w:bookmarkStart w:id="3" w:name="_Toc436754802"/>
      <w:bookmarkStart w:id="4" w:name="_Toc11735627"/>
      <w:bookmarkStart w:id="5" w:name="_Toc29883110"/>
      <w:bookmarkStart w:id="6" w:name="_Toc41906797"/>
      <w:bookmarkStart w:id="7" w:name="_Toc41907544"/>
      <w:bookmarkStart w:id="8" w:name="_Toc120358575"/>
      <w:r>
        <w:lastRenderedPageBreak/>
        <w:t>Executive s</w:t>
      </w:r>
      <w:r w:rsidR="00E063C6" w:rsidRPr="00E203C2">
        <w:t>ummary</w:t>
      </w:r>
      <w:bookmarkEnd w:id="1"/>
      <w:bookmarkEnd w:id="2"/>
      <w:bookmarkEnd w:id="3"/>
    </w:p>
    <w:p w14:paraId="2C776606" w14:textId="365B8CC1" w:rsidR="003B7CEB" w:rsidRDefault="00FB34BD" w:rsidP="00FB34BD">
      <w:pPr>
        <w:rPr>
          <w:lang w:bidi="ar-SA"/>
        </w:rPr>
      </w:pPr>
      <w:bookmarkStart w:id="9" w:name="_Toc286391003"/>
      <w:r>
        <w:rPr>
          <w:lang w:bidi="ar-SA"/>
        </w:rPr>
        <w:t xml:space="preserve">The </w:t>
      </w:r>
      <w:r>
        <w:rPr>
          <w:i/>
          <w:lang w:bidi="ar-SA"/>
        </w:rPr>
        <w:t>Australia New Zealand Food Standards Code</w:t>
      </w:r>
      <w:r>
        <w:rPr>
          <w:lang w:bidi="ar-SA"/>
        </w:rPr>
        <w:t xml:space="preserve"> (the Code) prohibits </w:t>
      </w:r>
      <w:r w:rsidR="00833EA9">
        <w:rPr>
          <w:lang w:bidi="ar-SA"/>
        </w:rPr>
        <w:t xml:space="preserve">food for sale in Australia and New Zealand from containing nutritive substances or novel foods </w:t>
      </w:r>
      <w:r w:rsidR="000874F2">
        <w:rPr>
          <w:lang w:bidi="ar-SA"/>
        </w:rPr>
        <w:t xml:space="preserve">unless an </w:t>
      </w:r>
      <w:r>
        <w:rPr>
          <w:lang w:bidi="ar-SA"/>
        </w:rPr>
        <w:t xml:space="preserve">express permission </w:t>
      </w:r>
      <w:r w:rsidR="000874F2">
        <w:rPr>
          <w:lang w:bidi="ar-SA"/>
        </w:rPr>
        <w:t xml:space="preserve">is </w:t>
      </w:r>
      <w:r>
        <w:rPr>
          <w:lang w:bidi="ar-SA"/>
        </w:rPr>
        <w:t xml:space="preserve">listed. </w:t>
      </w:r>
      <w:r w:rsidR="00517A19">
        <w:t xml:space="preserve">Nutritive substances are those substances that are intended to be added to food to achieve a nutritive purpose, and include vitamins, minerals, amino acids and electrolytes. Novel foods encompass a broader range of foods, including substances that are intended to be added to foods (or sold as foods themselves) for a variety of reasons, including beneficial health effects. </w:t>
      </w:r>
      <w:r w:rsidR="003B7CEB">
        <w:t>Permissions in the Code are listed only after FSANZ has conducted an assessment and is satisfied the foods are safe for consumption.</w:t>
      </w:r>
    </w:p>
    <w:p w14:paraId="7B91B297" w14:textId="77777777" w:rsidR="003B7CEB" w:rsidRDefault="003B7CEB" w:rsidP="00FB34BD">
      <w:pPr>
        <w:rPr>
          <w:lang w:bidi="ar-SA"/>
        </w:rPr>
      </w:pPr>
    </w:p>
    <w:p w14:paraId="1F7D56D3" w14:textId="77777777" w:rsidR="00FB34BD" w:rsidRDefault="00FB34BD" w:rsidP="00FB34BD">
      <w:pPr>
        <w:rPr>
          <w:lang w:bidi="ar-SA"/>
        </w:rPr>
      </w:pPr>
      <w:r>
        <w:rPr>
          <w:lang w:bidi="ar-SA"/>
        </w:rPr>
        <w:t xml:space="preserve">The Proposal seeks to improve the regulation of nutritive substances and novel foods to ensure appropriate pre-market safety assessment </w:t>
      </w:r>
      <w:r w:rsidR="00C15936">
        <w:rPr>
          <w:lang w:bidi="ar-SA"/>
        </w:rPr>
        <w:t xml:space="preserve">of these foods </w:t>
      </w:r>
      <w:r>
        <w:rPr>
          <w:lang w:bidi="ar-SA"/>
        </w:rPr>
        <w:t xml:space="preserve">before </w:t>
      </w:r>
      <w:r w:rsidR="00C15936">
        <w:rPr>
          <w:lang w:bidi="ar-SA"/>
        </w:rPr>
        <w:t xml:space="preserve">they </w:t>
      </w:r>
      <w:r>
        <w:rPr>
          <w:lang w:bidi="ar-SA"/>
        </w:rPr>
        <w:t xml:space="preserve">are </w:t>
      </w:r>
      <w:r w:rsidR="000874F2">
        <w:rPr>
          <w:lang w:bidi="ar-SA"/>
        </w:rPr>
        <w:t xml:space="preserve">sold </w:t>
      </w:r>
      <w:r>
        <w:rPr>
          <w:lang w:bidi="ar-SA"/>
        </w:rPr>
        <w:t xml:space="preserve">in Australia and New Zealand. The Proposal aims to develop provisions that </w:t>
      </w:r>
      <w:r w:rsidR="00C15936">
        <w:rPr>
          <w:lang w:bidi="ar-SA"/>
        </w:rPr>
        <w:t>protect public health and safety while being</w:t>
      </w:r>
      <w:r>
        <w:rPr>
          <w:lang w:bidi="ar-SA"/>
        </w:rPr>
        <w:t xml:space="preserve"> objective</w:t>
      </w:r>
      <w:r w:rsidR="00C15936">
        <w:rPr>
          <w:lang w:bidi="ar-SA"/>
        </w:rPr>
        <w:t xml:space="preserve">, enforceable and proportionate with risk so that industry is not subject to an unreasonable regulatory burden. </w:t>
      </w:r>
      <w:r w:rsidR="000D113E">
        <w:rPr>
          <w:lang w:bidi="ar-SA"/>
        </w:rPr>
        <w:t xml:space="preserve">The Proposal </w:t>
      </w:r>
      <w:r w:rsidR="000874F2">
        <w:t>relies on an</w:t>
      </w:r>
      <w:r w:rsidR="000D113E">
        <w:t xml:space="preserve"> evidence base </w:t>
      </w:r>
      <w:r w:rsidR="000874F2">
        <w:t>that</w:t>
      </w:r>
      <w:r w:rsidR="00135103">
        <w:t xml:space="preserve"> is informed by </w:t>
      </w:r>
      <w:r w:rsidR="00494F96">
        <w:t xml:space="preserve">more than </w:t>
      </w:r>
      <w:r w:rsidR="000D113E">
        <w:t xml:space="preserve">ten years of </w:t>
      </w:r>
      <w:r w:rsidR="00494F96">
        <w:t>applying</w:t>
      </w:r>
      <w:r w:rsidR="000D113E">
        <w:t xml:space="preserve"> the </w:t>
      </w:r>
      <w:r w:rsidR="000874F2">
        <w:t xml:space="preserve">current </w:t>
      </w:r>
      <w:r w:rsidR="00135103">
        <w:t xml:space="preserve">novel food and </w:t>
      </w:r>
      <w:r w:rsidR="000D113E">
        <w:t>nutritive substance</w:t>
      </w:r>
      <w:r w:rsidR="00135103">
        <w:t xml:space="preserve"> provisions</w:t>
      </w:r>
      <w:r w:rsidR="000D113E">
        <w:t>. International approaches have also been taken into account in developing the options.</w:t>
      </w:r>
    </w:p>
    <w:p w14:paraId="26789BD2" w14:textId="77777777" w:rsidR="00FB34BD" w:rsidRDefault="00FB34BD" w:rsidP="00FB34BD">
      <w:pPr>
        <w:widowControl/>
      </w:pPr>
    </w:p>
    <w:p w14:paraId="7BFE7F7B" w14:textId="77777777" w:rsidR="00C15936" w:rsidRDefault="00C15936" w:rsidP="00FB34BD">
      <w:pPr>
        <w:widowControl/>
      </w:pPr>
      <w:r>
        <w:t>The current Code provisions relating to nutritive substances and novel foods, particularly the definitions associated with them, are creating uncertainty in the market place. The uncertainty relates to whether particular foods require permission in the Code before they can be sold in Australia and New Zealand</w:t>
      </w:r>
      <w:r w:rsidR="003B7CEB">
        <w:t>; and therefore whether the foods should be subject to pre-market assessment by FSANZ</w:t>
      </w:r>
      <w:r>
        <w:t xml:space="preserve">. This presents different risks for industry and food enforcement agencies in particular. </w:t>
      </w:r>
    </w:p>
    <w:p w14:paraId="6D6D9ABA" w14:textId="77777777" w:rsidR="003B7CEB" w:rsidRDefault="003B7CEB" w:rsidP="00FB34BD">
      <w:pPr>
        <w:widowControl/>
      </w:pPr>
    </w:p>
    <w:p w14:paraId="549B3F70" w14:textId="77777777" w:rsidR="00572E24" w:rsidRDefault="003B7CEB" w:rsidP="00335079">
      <w:pPr>
        <w:widowControl/>
        <w:ind w:right="-330"/>
      </w:pPr>
      <w:r>
        <w:t xml:space="preserve">FSANZ has assessed these risks and considers the status quo (option 1) is not an option that will address the risks associated with the uncertainty with the current Code provisions. Two options that may address the risks are presented in this assessment summary. Option 2 </w:t>
      </w:r>
      <w:r w:rsidR="0007466D">
        <w:t>involves a minor amendment of the current standard</w:t>
      </w:r>
      <w:r w:rsidR="00223A12">
        <w:t xml:space="preserve">: </w:t>
      </w:r>
      <w:r w:rsidR="00172D6F">
        <w:t xml:space="preserve">to amend the current provisions, primarily the definitional elements associated with nutritive substances and novel foods. The third option </w:t>
      </w:r>
      <w:r w:rsidR="00223A12">
        <w:t xml:space="preserve">is more </w:t>
      </w:r>
      <w:r w:rsidR="00AE20EB">
        <w:t>innovative</w:t>
      </w:r>
      <w:r w:rsidR="002746BD">
        <w:t xml:space="preserve">: </w:t>
      </w:r>
      <w:r w:rsidR="00287307">
        <w:t xml:space="preserve">to </w:t>
      </w:r>
      <w:r w:rsidR="003B579D">
        <w:t>develop</w:t>
      </w:r>
      <w:r w:rsidR="00287307">
        <w:t xml:space="preserve"> an alternative approach</w:t>
      </w:r>
      <w:r>
        <w:t xml:space="preserve"> based on the level </w:t>
      </w:r>
      <w:r w:rsidR="006767B5">
        <w:t>of risk inherent in various types of novel food</w:t>
      </w:r>
      <w:r w:rsidR="006F1173">
        <w:t xml:space="preserve"> (a graduated risk approach)</w:t>
      </w:r>
      <w:r w:rsidR="00223A12">
        <w:t xml:space="preserve">. </w:t>
      </w:r>
      <w:r w:rsidR="001F38FE">
        <w:t xml:space="preserve">This is FSANZ’s preferred option. </w:t>
      </w:r>
    </w:p>
    <w:p w14:paraId="6B2F717C" w14:textId="77777777" w:rsidR="00572E24" w:rsidRDefault="00572E24" w:rsidP="00FB34BD">
      <w:pPr>
        <w:widowControl/>
      </w:pPr>
    </w:p>
    <w:p w14:paraId="20D5B3F4" w14:textId="62DD9F26" w:rsidR="000C7B28" w:rsidRDefault="009952E9" w:rsidP="00335079">
      <w:pPr>
        <w:widowControl/>
        <w:ind w:right="-330"/>
      </w:pPr>
      <w:r>
        <w:t>To facilitate stakeholder input into the development of an alternative approach</w:t>
      </w:r>
      <w:r w:rsidR="00352C51">
        <w:t xml:space="preserve"> and to inform a decision on whether to prepare a draft variation</w:t>
      </w:r>
      <w:r>
        <w:t xml:space="preserve">, </w:t>
      </w:r>
      <w:r w:rsidR="003B579D">
        <w:t xml:space="preserve">FSANZ </w:t>
      </w:r>
      <w:r w:rsidR="00D57EF6">
        <w:t>has prepared a draft</w:t>
      </w:r>
      <w:r>
        <w:t xml:space="preserve"> framework</w:t>
      </w:r>
      <w:r w:rsidR="00256AC2">
        <w:t xml:space="preserve"> for discussion. The </w:t>
      </w:r>
      <w:r w:rsidR="00D57EF6">
        <w:t xml:space="preserve">graduated </w:t>
      </w:r>
      <w:r w:rsidR="006767B5">
        <w:t xml:space="preserve">risk </w:t>
      </w:r>
      <w:r w:rsidR="00D57EF6">
        <w:t xml:space="preserve">approach is a significant change from the current Code approach; and is </w:t>
      </w:r>
      <w:r w:rsidR="00256AC2">
        <w:t xml:space="preserve">presented in this report </w:t>
      </w:r>
      <w:r w:rsidR="00D57EF6">
        <w:t>for discussion with stakeholders about potential alternative approaches</w:t>
      </w:r>
      <w:r w:rsidR="003F3D5F">
        <w:t>.</w:t>
      </w:r>
      <w:r w:rsidR="008248ED">
        <w:t xml:space="preserve"> The approach includes draft criteria to identify low risk foods that would not require </w:t>
      </w:r>
      <w:r w:rsidR="00AC0D5A">
        <w:t>regulatory pre-market approval. These foods could be sold, subject to basic pre-market self-assessment requirements being satisfied by industry</w:t>
      </w:r>
      <w:r w:rsidR="008248ED">
        <w:t xml:space="preserve">. </w:t>
      </w:r>
      <w:r w:rsidR="00AC0D5A">
        <w:t>Foods not meeting the criteria would be subject to additional pre-market assessment, either an industry pre-market assessment and notification pathway or the FSANZ pre-approval assessment process.</w:t>
      </w:r>
    </w:p>
    <w:p w14:paraId="41655E26" w14:textId="77777777" w:rsidR="000C2350" w:rsidRDefault="000C2350" w:rsidP="00FB34BD">
      <w:pPr>
        <w:widowControl/>
      </w:pPr>
    </w:p>
    <w:p w14:paraId="68D9AEB8" w14:textId="77777777" w:rsidR="00A6498A" w:rsidRDefault="00A6498A" w:rsidP="00FB34BD">
      <w:pPr>
        <w:widowControl/>
      </w:pPr>
      <w:r>
        <w:t xml:space="preserve">The Proposal includes </w:t>
      </w:r>
      <w:r w:rsidR="003B7CEB">
        <w:t xml:space="preserve">consideration of the potential for closer alignment with the New Zealand Food (Supplemented Food) Standard 2013 and </w:t>
      </w:r>
      <w:r>
        <w:t>a review of the exclusive permission provision in Standard 1.5.1 – Novel Foods</w:t>
      </w:r>
      <w:r w:rsidR="003B7CEB">
        <w:t xml:space="preserve">. </w:t>
      </w:r>
      <w:r>
        <w:t xml:space="preserve"> </w:t>
      </w:r>
    </w:p>
    <w:p w14:paraId="0210BDA9" w14:textId="77777777" w:rsidR="00360C21" w:rsidRDefault="00360C21">
      <w:pPr>
        <w:widowControl/>
      </w:pPr>
    </w:p>
    <w:p w14:paraId="4D270104" w14:textId="1BFAA956" w:rsidR="002B35B2" w:rsidRDefault="00A6498A" w:rsidP="00335079">
      <w:pPr>
        <w:widowControl/>
        <w:ind w:right="-613"/>
      </w:pPr>
      <w:r>
        <w:t xml:space="preserve">There will be two rounds of public comment for this Proposal. </w:t>
      </w:r>
      <w:r w:rsidR="000A74EA">
        <w:t>This is the first</w:t>
      </w:r>
      <w:r w:rsidR="00352C51">
        <w:t xml:space="preserve"> </w:t>
      </w:r>
      <w:r w:rsidR="00BA79E3">
        <w:t xml:space="preserve">call for submissions relevant to the proposal in order to assist FSANZ’s </w:t>
      </w:r>
      <w:r w:rsidR="00352C51">
        <w:t>decision in relation to</w:t>
      </w:r>
      <w:r w:rsidR="006F2CD1">
        <w:t xml:space="preserve"> the</w:t>
      </w:r>
      <w:r w:rsidR="00352C51">
        <w:t xml:space="preserve"> preparation of a draft variation</w:t>
      </w:r>
      <w:r w:rsidR="000A74EA">
        <w:t xml:space="preserve">. </w:t>
      </w:r>
      <w:r>
        <w:t xml:space="preserve">Submitters are encouraged to provide comment on all aspects of this Proposal. FSANZ also seeks </w:t>
      </w:r>
      <w:r w:rsidR="00BA79E3">
        <w:t>submissions</w:t>
      </w:r>
      <w:r>
        <w:t xml:space="preserve"> on potential costs and benefits to inform development of a consultation Regulat</w:t>
      </w:r>
      <w:r w:rsidR="00335079">
        <w:t>ion</w:t>
      </w:r>
      <w:r>
        <w:t xml:space="preserve"> Impact Statement, which </w:t>
      </w:r>
      <w:r w:rsidR="00352C51">
        <w:t xml:space="preserve">can </w:t>
      </w:r>
      <w:r>
        <w:t xml:space="preserve">be included in </w:t>
      </w:r>
      <w:r w:rsidR="00352C51">
        <w:t xml:space="preserve">a </w:t>
      </w:r>
      <w:r w:rsidR="00642BC8">
        <w:t xml:space="preserve">second </w:t>
      </w:r>
      <w:r w:rsidR="00E232D6">
        <w:t>call for submissions</w:t>
      </w:r>
      <w:r>
        <w:t xml:space="preserve">. </w:t>
      </w:r>
      <w:r w:rsidR="005F4A55">
        <w:br w:type="page"/>
      </w:r>
      <w:bookmarkStart w:id="10" w:name="_Toc300933417"/>
    </w:p>
    <w:p w14:paraId="6C5EDDB4" w14:textId="62F56AF2" w:rsidR="002B35B2" w:rsidRDefault="00335079" w:rsidP="008800C9">
      <w:pPr>
        <w:pStyle w:val="Heading1"/>
      </w:pPr>
      <w:bookmarkStart w:id="11" w:name="_Toc436754803"/>
      <w:r>
        <w:lastRenderedPageBreak/>
        <w:t>1</w:t>
      </w:r>
      <w:r w:rsidR="002B35B2">
        <w:tab/>
        <w:t>Introduction</w:t>
      </w:r>
      <w:bookmarkEnd w:id="11"/>
    </w:p>
    <w:p w14:paraId="0E6C27C6" w14:textId="6C98EF9A" w:rsidR="00D25FFA" w:rsidRDefault="00335079" w:rsidP="008800C9">
      <w:pPr>
        <w:pStyle w:val="Heading2"/>
      </w:pPr>
      <w:bookmarkStart w:id="12" w:name="_Toc436754804"/>
      <w:r>
        <w:t>1</w:t>
      </w:r>
      <w:r w:rsidR="00D935F9">
        <w:t>.1</w:t>
      </w:r>
      <w:r w:rsidR="00D935F9">
        <w:tab/>
        <w:t>The Proposal</w:t>
      </w:r>
      <w:bookmarkEnd w:id="12"/>
    </w:p>
    <w:p w14:paraId="663E8143" w14:textId="77777777" w:rsidR="002B35B2" w:rsidRDefault="00D935F9" w:rsidP="00D25FFA">
      <w:r>
        <w:t xml:space="preserve">The purpose of this Proposal is to </w:t>
      </w:r>
      <w:r w:rsidR="00FA1DC1">
        <w:t xml:space="preserve">develop an improved framework for the </w:t>
      </w:r>
      <w:r w:rsidR="00CD4685">
        <w:t xml:space="preserve">regulation of </w:t>
      </w:r>
      <w:r>
        <w:t xml:space="preserve">nutritive substances and novel foods in the </w:t>
      </w:r>
      <w:r w:rsidRPr="00D935F9">
        <w:rPr>
          <w:i/>
        </w:rPr>
        <w:t>Australia New Zealand Food Standards Code</w:t>
      </w:r>
      <w:r>
        <w:t xml:space="preserve"> (the Code). </w:t>
      </w:r>
    </w:p>
    <w:p w14:paraId="06F1D93C" w14:textId="77777777" w:rsidR="00D10777" w:rsidRDefault="00D10777" w:rsidP="00D25FFA"/>
    <w:p w14:paraId="072789DF" w14:textId="17ED1A77" w:rsidR="00BA5BFB" w:rsidRDefault="00BA5BFB" w:rsidP="00BA5BFB">
      <w:r>
        <w:t xml:space="preserve">Nutritive substances and novel foods are foods that typically do not have a history of safe human consumption. </w:t>
      </w:r>
      <w:r w:rsidR="008B7E5B">
        <w:t xml:space="preserve">Nutritive substances are those substances that are intended to be added to food to achieve a nutritive purpose, and include vitamins, minerals, amino acids and electrolytes. Novel foods encompass a broader range of foods, including substances that are intended to be added to foods (or sold as foods themselves) for a variety of reasons, including beneficial health effects. </w:t>
      </w:r>
      <w:r w:rsidR="008A05F5">
        <w:t xml:space="preserve">These may be newly developed foods that have not previously been consumed by humans, foods from other countries that do not have a history of consumption by Australian and New Zealand populations, or components of foods (or other sources) that have been extracted and refined and are added to foods in a way that differs from their traditional consumption. </w:t>
      </w:r>
    </w:p>
    <w:p w14:paraId="12E0F6E6" w14:textId="77777777" w:rsidR="00BA5BFB" w:rsidRDefault="00BA5BFB" w:rsidP="00BA5BFB"/>
    <w:p w14:paraId="5B6C8296" w14:textId="3C4E112B" w:rsidR="008A05F5" w:rsidRDefault="008A05F5" w:rsidP="00BA5BFB">
      <w:r>
        <w:t>Foods without a history of safe human consumption may pose a variety of risks to consumers</w:t>
      </w:r>
      <w:r w:rsidR="002F60AE">
        <w:t xml:space="preserve">. </w:t>
      </w:r>
      <w:r w:rsidR="0089766D">
        <w:t xml:space="preserve">FSANZ’s primary objective is the protection of public health and safety. </w:t>
      </w:r>
      <w:r w:rsidR="00101F1B">
        <w:t>The Code includes requirements for</w:t>
      </w:r>
      <w:r>
        <w:t xml:space="preserve"> these foods </w:t>
      </w:r>
      <w:r w:rsidR="00101F1B">
        <w:t>to</w:t>
      </w:r>
      <w:r>
        <w:t xml:space="preserve"> be subject to pre-market assessment of the risks, including toxicological, nutritional and microbiological risks</w:t>
      </w:r>
      <w:r w:rsidR="00C15728">
        <w:t xml:space="preserve">, to determine if the nutritive substance or novel food is safe for consumption. </w:t>
      </w:r>
      <w:r w:rsidR="0038147D">
        <w:t>In</w:t>
      </w:r>
      <w:r w:rsidR="00C15728">
        <w:t xml:space="preserve"> order to ensure these foods are subject to pre-market assessment, </w:t>
      </w:r>
      <w:r>
        <w:t>the Code prohibits the sale of novel foods and the use of nutritive substances as ingredients or components of foods, unless permission is included in the Code.</w:t>
      </w:r>
      <w:r w:rsidR="00C15728">
        <w:t xml:space="preserve"> </w:t>
      </w:r>
      <w:r w:rsidR="000B1ECE">
        <w:t>Definitions of n</w:t>
      </w:r>
      <w:r w:rsidR="00C15728">
        <w:t>utritive substance</w:t>
      </w:r>
      <w:r w:rsidR="005F23FA">
        <w:t>s</w:t>
      </w:r>
      <w:r w:rsidR="00C15728">
        <w:t xml:space="preserve"> and novel food</w:t>
      </w:r>
      <w:r w:rsidR="005F23FA">
        <w:t xml:space="preserve">s are </w:t>
      </w:r>
      <w:r w:rsidR="000B1ECE">
        <w:t>included</w:t>
      </w:r>
      <w:r w:rsidR="005F23FA">
        <w:t xml:space="preserve"> in the Code to assist in identify</w:t>
      </w:r>
      <w:r w:rsidR="00C15728">
        <w:t>ing the type of foods that should be s</w:t>
      </w:r>
      <w:r w:rsidR="005F23FA">
        <w:t xml:space="preserve">ubject to pre-market assessment. </w:t>
      </w:r>
    </w:p>
    <w:p w14:paraId="6CDA94B3" w14:textId="77777777" w:rsidR="008A05F5" w:rsidRDefault="008A05F5" w:rsidP="00BA5BFB"/>
    <w:p w14:paraId="18877990" w14:textId="77777777" w:rsidR="00C15728" w:rsidRDefault="00C15728" w:rsidP="00BA5BFB">
      <w:r>
        <w:t xml:space="preserve">However, it </w:t>
      </w:r>
      <w:r w:rsidR="002D7DD8">
        <w:t>has become</w:t>
      </w:r>
      <w:r>
        <w:t xml:space="preserve"> apparent that these definitions are not effectively ac</w:t>
      </w:r>
      <w:r w:rsidR="005F23FA">
        <w:t xml:space="preserve">hieving their intended purpose. The definitions include </w:t>
      </w:r>
      <w:r w:rsidR="002D7DD8">
        <w:t>ambiguous terms that create uncertainty</w:t>
      </w:r>
      <w:r w:rsidR="0089766D">
        <w:t xml:space="preserve"> in the market place</w:t>
      </w:r>
      <w:r w:rsidR="002D7DD8">
        <w:t>. This uncertainty creates difficulties for industry and food enforcement agencies in determining whether particular foods require specific permission in the Code before they can</w:t>
      </w:r>
      <w:r w:rsidR="000B1ECE">
        <w:t xml:space="preserve"> be added to, or sold as, foods. </w:t>
      </w:r>
    </w:p>
    <w:p w14:paraId="204F3765" w14:textId="77777777" w:rsidR="00C15728" w:rsidRDefault="00C15728" w:rsidP="00BA5BFB"/>
    <w:p w14:paraId="1A0CEC5E" w14:textId="19F57ED5" w:rsidR="0038147D" w:rsidRDefault="0089766D" w:rsidP="00D25FFA">
      <w:r>
        <w:t xml:space="preserve">This Proposal assesses the impacts of </w:t>
      </w:r>
      <w:r w:rsidR="00850AEA">
        <w:t>this</w:t>
      </w:r>
      <w:r>
        <w:t xml:space="preserve"> uncertainty in the market place and </w:t>
      </w:r>
      <w:r w:rsidR="00850AEA">
        <w:t>how the</w:t>
      </w:r>
      <w:r>
        <w:t xml:space="preserve"> </w:t>
      </w:r>
      <w:r w:rsidR="00850AEA">
        <w:t xml:space="preserve">Code’s nutritive substance and novel food </w:t>
      </w:r>
      <w:r>
        <w:t xml:space="preserve">provisions could be improved. FSANZ considers </w:t>
      </w:r>
      <w:r w:rsidR="0038147D">
        <w:t>improvements to the regulation of</w:t>
      </w:r>
      <w:r>
        <w:t xml:space="preserve"> nutritive substances and novel foods should </w:t>
      </w:r>
      <w:r w:rsidR="0038147D">
        <w:t xml:space="preserve">be made in keeping with </w:t>
      </w:r>
      <w:r w:rsidR="00850AEA">
        <w:t>certain</w:t>
      </w:r>
      <w:r w:rsidR="0038147D">
        <w:t xml:space="preserve"> principles. In addition to the protection of public health and safety, an approach should be proportionate to the varying levels of risk posed by different types of foods</w:t>
      </w:r>
      <w:r w:rsidR="00A63985">
        <w:t>;</w:t>
      </w:r>
      <w:r w:rsidR="0038147D">
        <w:t xml:space="preserve"> should be clear, objective and enforceable</w:t>
      </w:r>
      <w:r w:rsidR="00A63985">
        <w:t>;</w:t>
      </w:r>
      <w:r w:rsidR="0038147D">
        <w:t xml:space="preserve"> should provide industry with the opportunity to access the market quickly and without undue regulatory burden</w:t>
      </w:r>
      <w:r w:rsidR="00E336C1">
        <w:t>, when appropriate</w:t>
      </w:r>
      <w:r w:rsidR="00101F1B">
        <w:t xml:space="preserve">; and should </w:t>
      </w:r>
      <w:r w:rsidR="0001110C">
        <w:t xml:space="preserve">aim to </w:t>
      </w:r>
      <w:r w:rsidR="00101F1B">
        <w:t>be consistent with international regulations</w:t>
      </w:r>
      <w:r w:rsidR="0001110C">
        <w:t xml:space="preserve"> where appropriate</w:t>
      </w:r>
      <w:r w:rsidR="0038147D">
        <w:t xml:space="preserve">. </w:t>
      </w:r>
    </w:p>
    <w:p w14:paraId="7CD4A158" w14:textId="77777777" w:rsidR="0038147D" w:rsidRDefault="0038147D" w:rsidP="00D25FFA"/>
    <w:p w14:paraId="043EACF3" w14:textId="71632DE4" w:rsidR="00BA5BFB" w:rsidRDefault="0038147D" w:rsidP="00D25FFA">
      <w:r>
        <w:t>In assessing the Proposal, FSANZ considers a shift away from the current approach to regulating nutritive substances and novel foods would provide the best opportunity to address these principles. FSANZ has developed a draft framework</w:t>
      </w:r>
      <w:r w:rsidR="00E336C1">
        <w:t>, based on a graduated risk approach,</w:t>
      </w:r>
      <w:r>
        <w:t xml:space="preserve"> aimed at addressing these principles. The draft framework has been developed by FSANZ as a starting point for discussion with stakeholders</w:t>
      </w:r>
      <w:r w:rsidR="00850AEA">
        <w:t xml:space="preserve">. Comments received from stakeholders will inform the </w:t>
      </w:r>
      <w:r w:rsidR="00352C51">
        <w:t xml:space="preserve">decision </w:t>
      </w:r>
      <w:r w:rsidR="00642BC8">
        <w:t>to prepare</w:t>
      </w:r>
      <w:r w:rsidR="00352C51">
        <w:t xml:space="preserve"> </w:t>
      </w:r>
      <w:r w:rsidR="00850AEA">
        <w:t>a draft variation to the Code which</w:t>
      </w:r>
      <w:r w:rsidR="00352C51">
        <w:t>, if prepared,</w:t>
      </w:r>
      <w:r w:rsidR="00850AEA">
        <w:t xml:space="preserve"> will be included in the second call for submissions. </w:t>
      </w:r>
    </w:p>
    <w:p w14:paraId="16E93F6F" w14:textId="77777777" w:rsidR="008D37F5" w:rsidRDefault="008D37F5" w:rsidP="00D25FFA"/>
    <w:p w14:paraId="089079CB" w14:textId="77777777" w:rsidR="00335079" w:rsidRDefault="00335079" w:rsidP="00D25FFA">
      <w:r>
        <w:br w:type="page"/>
      </w:r>
    </w:p>
    <w:p w14:paraId="0D333402" w14:textId="154EBC0A" w:rsidR="008D37F5" w:rsidRDefault="008D37F5" w:rsidP="00D25FFA">
      <w:r>
        <w:lastRenderedPageBreak/>
        <w:t xml:space="preserve">Standards 2.9.1 – Infant Formula Products and 2.9.2 – Foods for Infants are excluded from consideration in this Proposal. The </w:t>
      </w:r>
      <w:r w:rsidRPr="00147B20">
        <w:rPr>
          <w:rFonts w:cs="Arial"/>
          <w:szCs w:val="22"/>
        </w:rPr>
        <w:t xml:space="preserve">Ministerial Policy Guideline on the </w:t>
      </w:r>
      <w:r w:rsidRPr="00147B20">
        <w:rPr>
          <w:rFonts w:cs="Arial"/>
          <w:i/>
          <w:szCs w:val="22"/>
        </w:rPr>
        <w:t>Regulation of Infant Formula Products</w:t>
      </w:r>
      <w:r>
        <w:rPr>
          <w:rStyle w:val="FootnoteReference"/>
        </w:rPr>
        <w:footnoteReference w:id="2"/>
      </w:r>
      <w:r>
        <w:t xml:space="preserve"> provides guidance on the pre-market assessment of substances added to infant formula products that will be considered separately by FSANZ as part of Proposal P1028 – Regulation of Infant Formula. Additional proposals may follow on from Proposal P1028 to address other formulae regulated by Standard 2.9.1. Standard 2.9.5 – Food for Special Medical Purposes is also excluded from this Proposal.</w:t>
      </w:r>
    </w:p>
    <w:p w14:paraId="737DA30B" w14:textId="2000E717" w:rsidR="00A63985" w:rsidRDefault="00335079" w:rsidP="00A63985">
      <w:pPr>
        <w:pStyle w:val="Heading2"/>
      </w:pPr>
      <w:bookmarkStart w:id="13" w:name="_Toc436754805"/>
      <w:r>
        <w:t>1</w:t>
      </w:r>
      <w:r w:rsidR="00A63985">
        <w:t>.2</w:t>
      </w:r>
      <w:r w:rsidR="00A63985">
        <w:tab/>
        <w:t xml:space="preserve">The current </w:t>
      </w:r>
      <w:r w:rsidR="00A408C8">
        <w:t xml:space="preserve">regulatory </w:t>
      </w:r>
      <w:r w:rsidR="00A63985">
        <w:t>framework</w:t>
      </w:r>
      <w:bookmarkEnd w:id="13"/>
    </w:p>
    <w:p w14:paraId="35E4C2C0" w14:textId="78024851" w:rsidR="00A63985" w:rsidRDefault="00A408C8" w:rsidP="00A63985">
      <w:r w:rsidRPr="00442E14">
        <w:t>Food businesses are responsible for ensuring the foods they sell are safe and suitable for consumption in Australia and New Zealand. All food sold must meet the requirements of the Food Acts in each Australian state and territory and in New Zealand.</w:t>
      </w:r>
      <w:r w:rsidRPr="00E80F06">
        <w:t xml:space="preserve"> </w:t>
      </w:r>
      <w:r w:rsidRPr="00442E14">
        <w:t>The Food Acts include provisions that make it an offence to sell food that is unsafe or unsuitable.</w:t>
      </w:r>
      <w:r>
        <w:t xml:space="preserve"> </w:t>
      </w:r>
      <w:r w:rsidRPr="00442E14">
        <w:t>A food is unsafe if it would be likely to cause physical harm to a person.</w:t>
      </w:r>
      <w:r>
        <w:t xml:space="preserve"> </w:t>
      </w:r>
      <w:r w:rsidRPr="00442E14">
        <w:t>A food is unsuitable if it, in brief: is damaged</w:t>
      </w:r>
      <w:r w:rsidR="00486D4D">
        <w:t>,</w:t>
      </w:r>
      <w:r w:rsidRPr="00442E14">
        <w:t xml:space="preserve"> deteriorated or perished; comes from a diseased animal; or contains an organism or chemical that is foreign to the nature of the food. For the purposes of this proposal we are concerned on</w:t>
      </w:r>
      <w:r>
        <w:t>ly with the unsafe food offence.</w:t>
      </w:r>
    </w:p>
    <w:p w14:paraId="24100CDA" w14:textId="77777777" w:rsidR="00A408C8" w:rsidRDefault="00A408C8" w:rsidP="00A63985"/>
    <w:p w14:paraId="16C9DD84" w14:textId="50F7DF63" w:rsidR="00A408C8" w:rsidRDefault="00A408C8" w:rsidP="00A63985">
      <w:r>
        <w:t>The Food Acts do not set out objective criteria for what constitutes an unsafe food. Food standards (in the Code) provide that level of objective criteria. Each Food Act provides for the application of the Code in each jurisdiction. Selling a food that does not comply with the Code is an offence under each Food Act.</w:t>
      </w:r>
      <w:r w:rsidRPr="00A408C8">
        <w:t xml:space="preserve"> </w:t>
      </w:r>
      <w:r>
        <w:t xml:space="preserve">Noting the criteria that standards in the Code provide </w:t>
      </w:r>
      <w:r w:rsidR="00486D4D">
        <w:t xml:space="preserve">to </w:t>
      </w:r>
      <w:r>
        <w:t xml:space="preserve">support the Food Acts, the Code has an important role in the Australia New Zealand food regulatory system; assisting in ensuring that foods supplied in each country are safe for consumption. The Code </w:t>
      </w:r>
      <w:r w:rsidRPr="00442E14">
        <w:t xml:space="preserve">provides a measure of certainty, for producers and consumers, about the safety or suitability of food. Food that complies with a standard will </w:t>
      </w:r>
      <w:r>
        <w:t xml:space="preserve">not </w:t>
      </w:r>
      <w:r w:rsidRPr="00442E14">
        <w:t xml:space="preserve">be considered </w:t>
      </w:r>
      <w:r>
        <w:t>un</w:t>
      </w:r>
      <w:r w:rsidRPr="00442E14">
        <w:t xml:space="preserve">safe or </w:t>
      </w:r>
      <w:r>
        <w:t>un</w:t>
      </w:r>
      <w:r w:rsidRPr="00442E14">
        <w:t>suitable</w:t>
      </w:r>
      <w:r>
        <w:t xml:space="preserve"> for the reason dealt with by that standard</w:t>
      </w:r>
      <w:r w:rsidRPr="00442E14">
        <w:t>.</w:t>
      </w:r>
    </w:p>
    <w:p w14:paraId="5041C011" w14:textId="77777777" w:rsidR="00486D4D" w:rsidRDefault="00486D4D" w:rsidP="00A63985"/>
    <w:p w14:paraId="0572239F" w14:textId="5E5FC8AE" w:rsidR="00486D4D" w:rsidRDefault="00486D4D" w:rsidP="00A63985">
      <w:r>
        <w:t>The Code’s nutritive substance and novel food provisions should enable food enforcement agencies to rely on non-compliance with the Code for these types of foods when supplied to the market without permission in the Code. Food enforcement agencies should therefore not need to rely on the broad ‘unsafe food’ provisions in the Food Acts for these types of foods.</w:t>
      </w:r>
    </w:p>
    <w:p w14:paraId="5943CE05" w14:textId="2C922941" w:rsidR="00A408C8" w:rsidRDefault="00335079" w:rsidP="000D0DA9">
      <w:pPr>
        <w:pStyle w:val="Heading3"/>
      </w:pPr>
      <w:bookmarkStart w:id="14" w:name="_Toc436754806"/>
      <w:r>
        <w:t>1</w:t>
      </w:r>
      <w:r w:rsidR="00A408C8">
        <w:t>.2.1</w:t>
      </w:r>
      <w:r w:rsidR="00A408C8">
        <w:tab/>
        <w:t>The Code provisions</w:t>
      </w:r>
      <w:bookmarkEnd w:id="14"/>
    </w:p>
    <w:p w14:paraId="19437115" w14:textId="77777777" w:rsidR="00A408C8" w:rsidRDefault="00A408C8" w:rsidP="00A408C8">
      <w:r>
        <w:t>Standard 1.1.1 - Structure of the Code</w:t>
      </w:r>
      <w:r w:rsidR="00AC0D5A">
        <w:rPr>
          <w:rStyle w:val="FootnoteReference"/>
        </w:rPr>
        <w:footnoteReference w:id="3"/>
      </w:r>
      <w:r>
        <w:t xml:space="preserve"> and general provisions - sets out basic requirements for food for sale in Australia and New Zealand.</w:t>
      </w:r>
      <w:r w:rsidR="00352C51">
        <w:t xml:space="preserve"> T</w:t>
      </w:r>
      <w:r>
        <w:t>his Standard</w:t>
      </w:r>
      <w:r w:rsidR="00352C51">
        <w:t xml:space="preserve"> provides that</w:t>
      </w:r>
      <w:r>
        <w:t xml:space="preserve">, </w:t>
      </w:r>
      <w:r w:rsidR="00352C51">
        <w:t xml:space="preserve">unless expressly permitted by the Code, </w:t>
      </w:r>
      <w:r>
        <w:t>food for sale:</w:t>
      </w:r>
    </w:p>
    <w:p w14:paraId="4B55EF3F" w14:textId="77777777" w:rsidR="00A408C8" w:rsidRDefault="00A408C8" w:rsidP="00A408C8"/>
    <w:p w14:paraId="3AC81BB4" w14:textId="77777777" w:rsidR="00A408C8" w:rsidRDefault="00A408C8" w:rsidP="00A408C8">
      <w:pPr>
        <w:pStyle w:val="FSBullet"/>
      </w:pPr>
      <w:r>
        <w:t xml:space="preserve">must not be a ‘novel food’ (paragraph 1.1.1– 10(5)(b)); and </w:t>
      </w:r>
    </w:p>
    <w:p w14:paraId="29DB9DBC" w14:textId="77777777" w:rsidR="00A408C8" w:rsidRDefault="00A408C8" w:rsidP="00A408C8">
      <w:pPr>
        <w:pStyle w:val="FSBullet"/>
      </w:pPr>
      <w:proofErr w:type="gramStart"/>
      <w:r>
        <w:t>must</w:t>
      </w:r>
      <w:proofErr w:type="gramEnd"/>
      <w:r>
        <w:t xml:space="preserve"> not have as an ingredient or a component a substance that is ‘used as a nutritive substance’ (paragraph 1.1.1– 10(6)(b)). </w:t>
      </w:r>
    </w:p>
    <w:p w14:paraId="693F0ADD" w14:textId="77777777" w:rsidR="00A408C8" w:rsidRDefault="00A408C8" w:rsidP="00A408C8"/>
    <w:p w14:paraId="395EC899" w14:textId="77777777" w:rsidR="00335079" w:rsidRDefault="00A408C8" w:rsidP="00A408C8">
      <w:r>
        <w:t xml:space="preserve">Standard 1.5.1 – Novel foods contains permissions for the sale of novel foods that have been assessed and approved by FSANZ. These permissions are listed in Schedule 25. A number of standards contain permissions for the use of nutritive substances. </w:t>
      </w:r>
      <w:r w:rsidR="00335079">
        <w:br w:type="page"/>
      </w:r>
    </w:p>
    <w:p w14:paraId="3290AAC2" w14:textId="5F4D73C2" w:rsidR="00A408C8" w:rsidRDefault="00A408C8" w:rsidP="00A408C8">
      <w:r>
        <w:lastRenderedPageBreak/>
        <w:t xml:space="preserve">Vitamins and minerals can be used as a nutritive substance if they are permitted in Schedule 17 or in standards in Part 2.9 which relate to special purpose foods. Permissions for the use of other substances as nutritive substances are included in Part 2.9 standards and include substances like amino acids, nucleotides and electrolytes. </w:t>
      </w:r>
    </w:p>
    <w:p w14:paraId="72F3B295" w14:textId="77777777" w:rsidR="00A408C8" w:rsidRDefault="00A408C8" w:rsidP="00A408C8"/>
    <w:p w14:paraId="0A1703BB" w14:textId="0D0EBD4B" w:rsidR="001664F3" w:rsidRDefault="00A408C8" w:rsidP="00A63985">
      <w:r>
        <w:t xml:space="preserve">Standard 1.1.2 – Definitions used throughout the Code - includes definitions of ‘novel food’ and ‘used as a nutritive substance’. These definitions are intended to identify those foods that should be subject to the pre-market approval requirements of the Code. The definitions are reproduced in </w:t>
      </w:r>
      <w:r w:rsidRPr="00DA155A">
        <w:t xml:space="preserve">Attachment </w:t>
      </w:r>
      <w:r w:rsidR="002E562D">
        <w:t>D</w:t>
      </w:r>
      <w:r>
        <w:t>.</w:t>
      </w:r>
      <w:r w:rsidRPr="00B0161B">
        <w:rPr>
          <w:color w:val="000000" w:themeColor="text1"/>
        </w:rPr>
        <w:t xml:space="preserve"> </w:t>
      </w:r>
    </w:p>
    <w:p w14:paraId="2FF6CB51" w14:textId="15D937A0" w:rsidR="001664F3" w:rsidRDefault="00335079" w:rsidP="001664F3">
      <w:pPr>
        <w:pStyle w:val="Heading2"/>
      </w:pPr>
      <w:bookmarkStart w:id="15" w:name="_Toc436754807"/>
      <w:r>
        <w:t>1</w:t>
      </w:r>
      <w:r w:rsidR="001664F3">
        <w:t>.3</w:t>
      </w:r>
      <w:r w:rsidR="001664F3">
        <w:tab/>
        <w:t>Rationale for the current framework</w:t>
      </w:r>
      <w:bookmarkEnd w:id="15"/>
    </w:p>
    <w:p w14:paraId="771E93BF" w14:textId="77777777" w:rsidR="006D70B1" w:rsidRDefault="001664F3" w:rsidP="006D70B1">
      <w:r>
        <w:t>Foods without a history of safe consumption may pose a variety of risks to consumers</w:t>
      </w:r>
      <w:r w:rsidR="006D70B1">
        <w:t xml:space="preserve">, including toxicological, nutritional and microbiological risks. There are a number of factors which may affect toxicological and nutritional risks, including: </w:t>
      </w:r>
    </w:p>
    <w:p w14:paraId="6B1707DC" w14:textId="77777777" w:rsidR="006D70B1" w:rsidRDefault="006D70B1" w:rsidP="006D70B1"/>
    <w:p w14:paraId="6D957E54" w14:textId="77777777" w:rsidR="006D70B1" w:rsidRDefault="006D70B1" w:rsidP="006D70B1">
      <w:pPr>
        <w:pStyle w:val="FSBullet1"/>
        <w:numPr>
          <w:ilvl w:val="0"/>
          <w:numId w:val="15"/>
        </w:numPr>
        <w:ind w:left="567" w:hanging="567"/>
        <w:rPr>
          <w:rFonts w:eastAsia="Calibri"/>
        </w:rPr>
      </w:pPr>
      <w:r>
        <w:rPr>
          <w:rFonts w:eastAsia="Calibri"/>
        </w:rPr>
        <w:t>cultivation, harvest and processing methods</w:t>
      </w:r>
    </w:p>
    <w:p w14:paraId="1B1C3CA7" w14:textId="77777777" w:rsidR="006D70B1" w:rsidRDefault="006D70B1" w:rsidP="006D70B1">
      <w:pPr>
        <w:pStyle w:val="FSBullet1"/>
        <w:numPr>
          <w:ilvl w:val="0"/>
          <w:numId w:val="15"/>
        </w:numPr>
        <w:ind w:left="567" w:hanging="567"/>
        <w:rPr>
          <w:rFonts w:eastAsia="Calibri"/>
        </w:rPr>
      </w:pPr>
      <w:r>
        <w:rPr>
          <w:rFonts w:eastAsia="Calibri"/>
        </w:rPr>
        <w:t>the composition of the food, particularly the presence of nutrients, toxicants and anti-nutrients or allergens</w:t>
      </w:r>
    </w:p>
    <w:p w14:paraId="254F87F2" w14:textId="77777777" w:rsidR="006D70B1" w:rsidRDefault="006D70B1" w:rsidP="006D70B1">
      <w:pPr>
        <w:pStyle w:val="FSBullet1"/>
        <w:numPr>
          <w:ilvl w:val="0"/>
          <w:numId w:val="15"/>
        </w:numPr>
        <w:ind w:left="567" w:hanging="567"/>
        <w:rPr>
          <w:rFonts w:eastAsia="Calibri"/>
        </w:rPr>
      </w:pPr>
      <w:r>
        <w:rPr>
          <w:rFonts w:eastAsia="Calibri"/>
        </w:rPr>
        <w:t>levels of consumption of the food</w:t>
      </w:r>
    </w:p>
    <w:p w14:paraId="771F0802" w14:textId="77777777" w:rsidR="006D70B1" w:rsidRDefault="006D70B1" w:rsidP="006D70B1">
      <w:pPr>
        <w:pStyle w:val="FSBullet1"/>
        <w:numPr>
          <w:ilvl w:val="0"/>
          <w:numId w:val="15"/>
        </w:numPr>
        <w:ind w:left="567" w:hanging="567"/>
        <w:rPr>
          <w:rFonts w:eastAsia="Calibri"/>
        </w:rPr>
      </w:pPr>
      <w:r>
        <w:rPr>
          <w:rFonts w:eastAsia="Calibri"/>
        </w:rPr>
        <w:t>the metabolism and fate of the food</w:t>
      </w:r>
      <w:r w:rsidR="00AC0D5A">
        <w:rPr>
          <w:rFonts w:eastAsia="Calibri"/>
        </w:rPr>
        <w:t xml:space="preserve"> in the human body</w:t>
      </w:r>
    </w:p>
    <w:p w14:paraId="7C831E4C" w14:textId="77777777" w:rsidR="006D70B1" w:rsidRPr="002A7F94" w:rsidRDefault="006D70B1" w:rsidP="006D70B1">
      <w:pPr>
        <w:pStyle w:val="FSBullet1"/>
        <w:numPr>
          <w:ilvl w:val="0"/>
          <w:numId w:val="15"/>
        </w:numPr>
        <w:ind w:left="567" w:hanging="567"/>
        <w:rPr>
          <w:rFonts w:eastAsia="Calibri"/>
        </w:rPr>
      </w:pPr>
      <w:proofErr w:type="gramStart"/>
      <w:r w:rsidRPr="002A7F94">
        <w:rPr>
          <w:rFonts w:eastAsia="Calibri"/>
        </w:rPr>
        <w:t>whether</w:t>
      </w:r>
      <w:proofErr w:type="gramEnd"/>
      <w:r w:rsidRPr="002A7F94">
        <w:rPr>
          <w:rFonts w:eastAsia="Calibri"/>
        </w:rPr>
        <w:t xml:space="preserve"> the food will be added to multiple foods and the potential for </w:t>
      </w:r>
      <w:r w:rsidRPr="00BF53F9">
        <w:t>cumulative effect</w:t>
      </w:r>
      <w:r>
        <w:t>s which</w:t>
      </w:r>
      <w:r w:rsidRPr="00BF53F9">
        <w:t xml:space="preserve"> may result in consumer intakes above levels considered safe for that substance.</w:t>
      </w:r>
    </w:p>
    <w:p w14:paraId="4D2E4743" w14:textId="77777777" w:rsidR="006D70B1" w:rsidRDefault="006D70B1" w:rsidP="006D70B1"/>
    <w:p w14:paraId="0370C6B6" w14:textId="77777777" w:rsidR="00F72483" w:rsidRDefault="006D70B1" w:rsidP="006D70B1">
      <w:r>
        <w:t xml:space="preserve">Microorganisms can also pose specific risks, which may need to be assessed to ensure they are safe for consumption. </w:t>
      </w:r>
    </w:p>
    <w:p w14:paraId="1883E0C7" w14:textId="77777777" w:rsidR="00F72483" w:rsidRDefault="00F72483" w:rsidP="006D70B1"/>
    <w:p w14:paraId="1652EFAA" w14:textId="2C9EA8E9" w:rsidR="006D70B1" w:rsidRDefault="00F95EDF" w:rsidP="006D70B1">
      <w:r>
        <w:t xml:space="preserve">The Code’s provisions are intended to identify the foods that should be subject to FSANZ pre-market approval. FSANZ’s assessment of these foods, once they have been identified, is not set out in the Code. </w:t>
      </w:r>
      <w:r w:rsidR="00A77F1B">
        <w:t>T</w:t>
      </w:r>
      <w:r>
        <w:t xml:space="preserve">he </w:t>
      </w:r>
      <w:r w:rsidR="006D70B1">
        <w:t xml:space="preserve">FSANZ Application Handbook sets out the type of data that is required to inform the assessment of the risks that apply specifically to nutritive substances and novel foods. </w:t>
      </w:r>
      <w:r>
        <w:t xml:space="preserve">More detail on these risks and the type of data that may be needed to assess them is explored in </w:t>
      </w:r>
      <w:r w:rsidR="009E169A">
        <w:t>Supporting Document 2 – Assessment of risks and safety data requirements for new foods (</w:t>
      </w:r>
      <w:r>
        <w:t>SD2</w:t>
      </w:r>
      <w:r w:rsidR="009E169A">
        <w:t>)</w:t>
      </w:r>
      <w:r>
        <w:t>.</w:t>
      </w:r>
    </w:p>
    <w:p w14:paraId="06C0F72C" w14:textId="77777777" w:rsidR="00F95EDF" w:rsidRDefault="00F95EDF" w:rsidP="006D70B1"/>
    <w:p w14:paraId="33D6FF1E" w14:textId="72E8BD67" w:rsidR="00F95EDF" w:rsidRDefault="00F95EDF" w:rsidP="00335079">
      <w:pPr>
        <w:ind w:right="-330"/>
      </w:pPr>
      <w:r>
        <w:t>As part of this Proposal, FSANZ has conducted road-testing of the risks of potential novel foods identified by the FSANZ Advisory Committee on Novel Foods (ACNF)</w:t>
      </w:r>
      <w:r w:rsidR="00F72483">
        <w:t xml:space="preserve"> and its predecessor, the Novel Food Reference Group (NFRG)</w:t>
      </w:r>
      <w:r w:rsidR="004E217B">
        <w:rPr>
          <w:rStyle w:val="FootnoteReference"/>
        </w:rPr>
        <w:footnoteReference w:id="4"/>
      </w:r>
      <w:r>
        <w:t xml:space="preserve">. The ACNF includes representatives from food enforcement agencies and provides opinions on whether certain foods are likely to meet the definition of novel food. These opinions are not legal decisions and are provided for advisory purposes only to assist stakeholders in considering whether certain foods are likely to be subject to the Code’s pre-market approval requirements for novel foods. </w:t>
      </w:r>
    </w:p>
    <w:p w14:paraId="5A05FB36" w14:textId="77777777" w:rsidR="00F72483" w:rsidRDefault="00F72483" w:rsidP="006D70B1"/>
    <w:p w14:paraId="4C655256" w14:textId="7A066E30" w:rsidR="00335079" w:rsidRDefault="00DC0C01" w:rsidP="006D70B1">
      <w:r>
        <w:t xml:space="preserve">The views of the ACNF/NFRG </w:t>
      </w:r>
      <w:r w:rsidR="00A81D31">
        <w:t>highlight</w:t>
      </w:r>
      <w:r>
        <w:t xml:space="preserve"> some foods with </w:t>
      </w:r>
      <w:r w:rsidR="00F73EA0">
        <w:t xml:space="preserve">identified or </w:t>
      </w:r>
      <w:r>
        <w:t xml:space="preserve">potential safety concerns, based on risks such as those identified above. Table 1 lists some of these foods as examples of foods likely to be considered novel and should therefore be subject to pre-market assessment and approval. </w:t>
      </w:r>
      <w:r w:rsidR="00F73EA0">
        <w:t xml:space="preserve">The identification, by the ACNF/NFRG, of foods with identified or potential safety concerns highlights the importance of adequate provisions in the Code to ensure foods with these characteristics are assessed for safety before they are supplied to consumers. </w:t>
      </w:r>
      <w:r w:rsidR="00335079">
        <w:br w:type="page"/>
      </w:r>
    </w:p>
    <w:p w14:paraId="3283343D" w14:textId="0BA2620B" w:rsidR="00F72483" w:rsidRDefault="00ED2ED9" w:rsidP="006D70B1">
      <w:r>
        <w:lastRenderedPageBreak/>
        <w:t>Of the 208 foods considered by the ACNF/NFRG, 61 were considered novel, with the remaining 147 considered to be either traditional foods (62) or non-traditional, but not requiring pre-market approval (85). More detail on the road-testing of ACNF/NFRG views is provided in SD3</w:t>
      </w:r>
      <w:r w:rsidR="009E169A">
        <w:t xml:space="preserve"> – Eligible Food Criteria.</w:t>
      </w:r>
    </w:p>
    <w:p w14:paraId="6E77D808" w14:textId="77777777" w:rsidR="00DC0C01" w:rsidRDefault="00DC0C01" w:rsidP="006D70B1"/>
    <w:p w14:paraId="06A79CE0" w14:textId="7BD84418" w:rsidR="00DC0C01" w:rsidRDefault="00DC0C01" w:rsidP="000D0DA9">
      <w:pPr>
        <w:pStyle w:val="FSTableTitle"/>
        <w:keepNext/>
        <w:keepLines/>
        <w:rPr>
          <w:lang w:bidi="ar-SA"/>
        </w:rPr>
      </w:pPr>
      <w:r>
        <w:rPr>
          <w:lang w:bidi="ar-SA"/>
        </w:rPr>
        <w:t xml:space="preserve">Table 1: </w:t>
      </w:r>
      <w:r w:rsidR="00AE20EB">
        <w:rPr>
          <w:lang w:bidi="ar-SA"/>
        </w:rPr>
        <w:t>Examples of some f</w:t>
      </w:r>
      <w:r>
        <w:rPr>
          <w:lang w:bidi="ar-SA"/>
        </w:rPr>
        <w:t>oods considered novel by ACNF</w:t>
      </w:r>
    </w:p>
    <w:p w14:paraId="6739FB7D" w14:textId="77777777" w:rsidR="00DC0C01" w:rsidRPr="00B40D69" w:rsidRDefault="00DC0C01" w:rsidP="000D0DA9">
      <w:pPr>
        <w:keepNext/>
        <w:keepLines/>
        <w:rPr>
          <w:lang w:bidi="ar-SA"/>
        </w:rPr>
      </w:pPr>
    </w:p>
    <w:tbl>
      <w:tblPr>
        <w:tblStyle w:val="TableGrid"/>
        <w:tblW w:w="9072" w:type="dxa"/>
        <w:tblLook w:val="04A0" w:firstRow="1" w:lastRow="0" w:firstColumn="1" w:lastColumn="0" w:noHBand="0" w:noVBand="1"/>
      </w:tblPr>
      <w:tblGrid>
        <w:gridCol w:w="2268"/>
        <w:gridCol w:w="6804"/>
      </w:tblGrid>
      <w:tr w:rsidR="00DC0C01" w14:paraId="2E7BBCA7" w14:textId="77777777" w:rsidTr="00352C51">
        <w:tc>
          <w:tcPr>
            <w:tcW w:w="2126" w:type="dxa"/>
            <w:shd w:val="clear" w:color="auto" w:fill="C2D69B" w:themeFill="accent3" w:themeFillTint="99"/>
            <w:vAlign w:val="center"/>
          </w:tcPr>
          <w:p w14:paraId="3671DA81" w14:textId="77777777" w:rsidR="00DC0C01" w:rsidRDefault="00DC0C01" w:rsidP="000D0DA9">
            <w:pPr>
              <w:pStyle w:val="FSTableHeading"/>
              <w:keepNext/>
              <w:keepLines/>
              <w:rPr>
                <w:lang w:bidi="ar-SA"/>
              </w:rPr>
            </w:pPr>
            <w:r>
              <w:rPr>
                <w:lang w:bidi="ar-SA"/>
              </w:rPr>
              <w:t>Food</w:t>
            </w:r>
          </w:p>
        </w:tc>
        <w:tc>
          <w:tcPr>
            <w:tcW w:w="6379" w:type="dxa"/>
            <w:shd w:val="clear" w:color="auto" w:fill="C2D69B" w:themeFill="accent3" w:themeFillTint="99"/>
            <w:vAlign w:val="center"/>
          </w:tcPr>
          <w:p w14:paraId="48D85683" w14:textId="77777777" w:rsidR="00DC0C01" w:rsidRDefault="00DC0C01" w:rsidP="000D0DA9">
            <w:pPr>
              <w:pStyle w:val="FSTableHeading"/>
              <w:keepNext/>
              <w:keepLines/>
              <w:rPr>
                <w:lang w:bidi="ar-SA"/>
              </w:rPr>
            </w:pPr>
            <w:r>
              <w:rPr>
                <w:lang w:bidi="ar-SA"/>
              </w:rPr>
              <w:t>Comments / reason considered novel</w:t>
            </w:r>
          </w:p>
        </w:tc>
      </w:tr>
      <w:tr w:rsidR="00DC0C01" w14:paraId="72F14377" w14:textId="77777777" w:rsidTr="00352C51">
        <w:tc>
          <w:tcPr>
            <w:tcW w:w="2126" w:type="dxa"/>
            <w:shd w:val="clear" w:color="auto" w:fill="EAF1DD" w:themeFill="accent3" w:themeFillTint="33"/>
            <w:vAlign w:val="center"/>
          </w:tcPr>
          <w:p w14:paraId="5C011D12" w14:textId="77777777" w:rsidR="00DC0C01" w:rsidRPr="00BF529C" w:rsidRDefault="00DC0C01" w:rsidP="000D0DA9">
            <w:pPr>
              <w:pStyle w:val="FSTableText"/>
              <w:keepNext/>
              <w:keepLines/>
              <w:jc w:val="center"/>
              <w:rPr>
                <w:i/>
                <w:lang w:bidi="ar-SA"/>
              </w:rPr>
            </w:pPr>
            <w:r w:rsidRPr="00BF529C">
              <w:rPr>
                <w:i/>
                <w:lang w:bidi="ar-SA"/>
              </w:rPr>
              <w:t>Acacia rigidula</w:t>
            </w:r>
          </w:p>
        </w:tc>
        <w:tc>
          <w:tcPr>
            <w:tcW w:w="6379" w:type="dxa"/>
            <w:shd w:val="clear" w:color="auto" w:fill="EAF1DD" w:themeFill="accent3" w:themeFillTint="33"/>
            <w:vAlign w:val="center"/>
          </w:tcPr>
          <w:p w14:paraId="31C5238A" w14:textId="001EE26A" w:rsidR="00DC0C01" w:rsidRDefault="00DC0C01" w:rsidP="00A45291">
            <w:pPr>
              <w:pStyle w:val="FSTableText"/>
              <w:keepNext/>
              <w:keepLines/>
              <w:rPr>
                <w:lang w:bidi="ar-SA"/>
              </w:rPr>
            </w:pPr>
            <w:r>
              <w:rPr>
                <w:lang w:bidi="ar-SA"/>
              </w:rPr>
              <w:t xml:space="preserve">This plant was intended to be added as an alternative to DMAA in sports supplement products (see case study </w:t>
            </w:r>
            <w:r w:rsidR="00A45291">
              <w:rPr>
                <w:lang w:bidi="ar-SA"/>
              </w:rPr>
              <w:t>at Attachment B</w:t>
            </w:r>
            <w:r>
              <w:rPr>
                <w:lang w:bidi="ar-SA"/>
              </w:rPr>
              <w:t xml:space="preserve">). The ACNF noted that </w:t>
            </w:r>
            <w:r w:rsidRPr="00D63E03">
              <w:rPr>
                <w:i/>
                <w:lang w:bidi="ar-SA"/>
              </w:rPr>
              <w:t>Acacia rigidula</w:t>
            </w:r>
            <w:r>
              <w:rPr>
                <w:lang w:bidi="ar-SA"/>
              </w:rPr>
              <w:t>, like DMAA, is likely to have stimulant properties and that the potential for adverse effects should be subject to further assessment of safety.</w:t>
            </w:r>
          </w:p>
        </w:tc>
      </w:tr>
      <w:tr w:rsidR="00DC0C01" w14:paraId="6733CAA1" w14:textId="77777777" w:rsidTr="00352C51">
        <w:tc>
          <w:tcPr>
            <w:tcW w:w="2126" w:type="dxa"/>
            <w:shd w:val="clear" w:color="auto" w:fill="C2D69B" w:themeFill="accent3" w:themeFillTint="99"/>
            <w:vAlign w:val="center"/>
          </w:tcPr>
          <w:p w14:paraId="2CB6205F" w14:textId="77777777" w:rsidR="00DC0C01" w:rsidRPr="003C13F6" w:rsidRDefault="00DC0C01" w:rsidP="00352C51">
            <w:pPr>
              <w:pStyle w:val="FSTableText"/>
              <w:jc w:val="center"/>
              <w:rPr>
                <w:i/>
                <w:lang w:bidi="ar-SA"/>
              </w:rPr>
            </w:pPr>
            <w:r w:rsidRPr="003C13F6">
              <w:rPr>
                <w:i/>
                <w:lang w:bidi="ar-SA"/>
              </w:rPr>
              <w:t>Dieffenbachia</w:t>
            </w:r>
          </w:p>
        </w:tc>
        <w:tc>
          <w:tcPr>
            <w:tcW w:w="6379" w:type="dxa"/>
            <w:shd w:val="clear" w:color="auto" w:fill="C2D69B" w:themeFill="accent3" w:themeFillTint="99"/>
            <w:vAlign w:val="center"/>
          </w:tcPr>
          <w:p w14:paraId="6204A4D1" w14:textId="77777777" w:rsidR="00DC0C01" w:rsidRDefault="00DC0C01" w:rsidP="00352C51">
            <w:pPr>
              <w:pStyle w:val="FSTableText"/>
              <w:rPr>
                <w:lang w:bidi="ar-SA"/>
              </w:rPr>
            </w:pPr>
            <w:r>
              <w:rPr>
                <w:lang w:bidi="ar-SA"/>
              </w:rPr>
              <w:t>The ACNF noted this plant had the potential to elicit hallucinogenic properties upon consumption and therefore had the potential for adverse effects that should be subject to further assessment of safety.</w:t>
            </w:r>
          </w:p>
        </w:tc>
      </w:tr>
      <w:tr w:rsidR="00DC0C01" w14:paraId="64C687D4" w14:textId="77777777" w:rsidTr="00352C51">
        <w:tc>
          <w:tcPr>
            <w:tcW w:w="2126" w:type="dxa"/>
            <w:shd w:val="clear" w:color="auto" w:fill="EAF1DD" w:themeFill="accent3" w:themeFillTint="33"/>
            <w:vAlign w:val="center"/>
          </w:tcPr>
          <w:p w14:paraId="48F1611F" w14:textId="77777777" w:rsidR="00DC0C01" w:rsidRDefault="00DC0C01" w:rsidP="00352C51">
            <w:pPr>
              <w:pStyle w:val="FSTableText"/>
              <w:jc w:val="center"/>
              <w:rPr>
                <w:lang w:bidi="ar-SA"/>
              </w:rPr>
            </w:pPr>
            <w:r w:rsidRPr="003C13F6">
              <w:rPr>
                <w:i/>
                <w:lang w:bidi="ar-SA"/>
              </w:rPr>
              <w:t>Rhodiola rosea</w:t>
            </w:r>
            <w:r>
              <w:rPr>
                <w:lang w:bidi="ar-SA"/>
              </w:rPr>
              <w:t>, Siberian chaga</w:t>
            </w:r>
          </w:p>
        </w:tc>
        <w:tc>
          <w:tcPr>
            <w:tcW w:w="6379" w:type="dxa"/>
            <w:shd w:val="clear" w:color="auto" w:fill="EAF1DD" w:themeFill="accent3" w:themeFillTint="33"/>
            <w:vAlign w:val="center"/>
          </w:tcPr>
          <w:p w14:paraId="6F27CBE8" w14:textId="77777777" w:rsidR="00DC0C01" w:rsidRDefault="00DC0C01" w:rsidP="00352C51">
            <w:pPr>
              <w:pStyle w:val="FSTableText"/>
              <w:rPr>
                <w:lang w:bidi="ar-SA"/>
              </w:rPr>
            </w:pPr>
            <w:r>
              <w:rPr>
                <w:lang w:bidi="ar-SA"/>
              </w:rPr>
              <w:t>The ACNF noted these herbs have a traditional medicinal use and that some are also permitted to be added as active ingredients in complementary medicines in Australia. These herbs are associated with a number of potential therapeutic effects.</w:t>
            </w:r>
          </w:p>
        </w:tc>
      </w:tr>
      <w:tr w:rsidR="00DC0C01" w14:paraId="418B42AC" w14:textId="77777777" w:rsidTr="00352C51">
        <w:tc>
          <w:tcPr>
            <w:tcW w:w="2126" w:type="dxa"/>
            <w:shd w:val="clear" w:color="auto" w:fill="C2D69B" w:themeFill="accent3" w:themeFillTint="99"/>
            <w:vAlign w:val="center"/>
          </w:tcPr>
          <w:p w14:paraId="2F55B64B" w14:textId="77777777" w:rsidR="00DC0C01" w:rsidRDefault="00DC0C01" w:rsidP="00352C51">
            <w:pPr>
              <w:pStyle w:val="FSTableText"/>
              <w:jc w:val="center"/>
              <w:rPr>
                <w:lang w:bidi="ar-SA"/>
              </w:rPr>
            </w:pPr>
            <w:r>
              <w:rPr>
                <w:lang w:bidi="ar-SA"/>
              </w:rPr>
              <w:t>Hydroxycitric acid, African mango seed extract</w:t>
            </w:r>
          </w:p>
        </w:tc>
        <w:tc>
          <w:tcPr>
            <w:tcW w:w="6379" w:type="dxa"/>
            <w:shd w:val="clear" w:color="auto" w:fill="C2D69B" w:themeFill="accent3" w:themeFillTint="99"/>
            <w:vAlign w:val="center"/>
          </w:tcPr>
          <w:p w14:paraId="063F32C4" w14:textId="77777777" w:rsidR="00DC0C01" w:rsidRDefault="00DC0C01" w:rsidP="00352C51">
            <w:pPr>
              <w:pStyle w:val="FSTableText"/>
              <w:rPr>
                <w:lang w:bidi="ar-SA"/>
              </w:rPr>
            </w:pPr>
            <w:r>
              <w:rPr>
                <w:lang w:bidi="ar-SA"/>
              </w:rPr>
              <w:t>These ingredients were derived from foods that had a tradition of use in certain areas of the world. However, the substances or extracts were either sourced from different parts of the plant that were not normally consumed or were extracted rather than being traditionally consumed. The ingredients were purported to have weight loss effects and the ACNF considered these effects and the potential for adverse effects should be subject to further assessment of safety, particularly for non-target population groups in which weight loss may not be a desired effect.</w:t>
            </w:r>
          </w:p>
        </w:tc>
      </w:tr>
    </w:tbl>
    <w:p w14:paraId="69548DAE" w14:textId="77777777" w:rsidR="007518C7" w:rsidRDefault="007518C7" w:rsidP="00D25FFA"/>
    <w:p w14:paraId="6BCC2BAB" w14:textId="5EAE494C" w:rsidR="00F55E9F" w:rsidRDefault="002752EB" w:rsidP="00F55E9F">
      <w:r w:rsidRPr="00442E14">
        <w:t xml:space="preserve">The </w:t>
      </w:r>
      <w:r w:rsidR="00A45291">
        <w:t xml:space="preserve">requirements for </w:t>
      </w:r>
      <w:r w:rsidRPr="00442E14">
        <w:t xml:space="preserve">pre-market assessment in the Australian and New Zealand food regulatory system for new foods and substances added to foods are consistent with regulatory requirements in international jurisdictions, such as the European Union, the United States and Canada. </w:t>
      </w:r>
      <w:r w:rsidR="00A45291">
        <w:t xml:space="preserve">That is, there is a common recognition that foods new to the food supply require some regulatory oversight. </w:t>
      </w:r>
      <w:r w:rsidRPr="00442E14">
        <w:t xml:space="preserve">Additional detail on these international regulatory approaches is provided in </w:t>
      </w:r>
      <w:r w:rsidR="009E169A">
        <w:t xml:space="preserve">SD4 – Overview of International Regulatory Approaches. </w:t>
      </w:r>
    </w:p>
    <w:p w14:paraId="12B428B3" w14:textId="6300AA93" w:rsidR="00F55E9F" w:rsidRDefault="00335079" w:rsidP="00F55E9F">
      <w:pPr>
        <w:pStyle w:val="Heading2"/>
      </w:pPr>
      <w:bookmarkStart w:id="16" w:name="_Toc436754808"/>
      <w:r>
        <w:t>1</w:t>
      </w:r>
      <w:r w:rsidR="00F55E9F">
        <w:t>.</w:t>
      </w:r>
      <w:r w:rsidR="00FF2684">
        <w:t>4</w:t>
      </w:r>
      <w:r w:rsidR="00F55E9F">
        <w:tab/>
        <w:t>Procedure for assessment</w:t>
      </w:r>
      <w:bookmarkEnd w:id="16"/>
    </w:p>
    <w:p w14:paraId="248A0BF5" w14:textId="3AB94A7B" w:rsidR="00E80F06" w:rsidRDefault="00F55E9F" w:rsidP="00D25FFA">
      <w:r w:rsidRPr="00AC782C">
        <w:t>The Proposal is being assessed under the Major Procedure</w:t>
      </w:r>
      <w:r w:rsidR="00C14AB8">
        <w:rPr>
          <w:rStyle w:val="FootnoteReference"/>
        </w:rPr>
        <w:footnoteReference w:id="5"/>
      </w:r>
      <w:r w:rsidR="00AE20EB">
        <w:t xml:space="preserve"> (which means it </w:t>
      </w:r>
      <w:r>
        <w:t>includes two rounds of public consultation</w:t>
      </w:r>
      <w:r w:rsidR="00C14AB8">
        <w:t>)</w:t>
      </w:r>
      <w:r>
        <w:t xml:space="preserve">. Stakeholder submissions to this assessment summary will inform </w:t>
      </w:r>
      <w:r w:rsidR="00352C51">
        <w:t>a decision on preparation of a draft variation to the Code</w:t>
      </w:r>
      <w:r>
        <w:t xml:space="preserve">. </w:t>
      </w:r>
    </w:p>
    <w:p w14:paraId="5EF980EE" w14:textId="77777777" w:rsidR="002A279A" w:rsidRDefault="002A279A" w:rsidP="00D25FFA"/>
    <w:p w14:paraId="24D41CE1" w14:textId="4A61DFE2" w:rsidR="00E80F06" w:rsidRDefault="00335079" w:rsidP="002A279A">
      <w:pPr>
        <w:pStyle w:val="Heading1"/>
      </w:pPr>
      <w:bookmarkStart w:id="17" w:name="_Toc436754809"/>
      <w:r>
        <w:t>2</w:t>
      </w:r>
      <w:r w:rsidR="00E80F06">
        <w:tab/>
      </w:r>
      <w:r w:rsidR="00FF2684">
        <w:t xml:space="preserve">The </w:t>
      </w:r>
      <w:r w:rsidR="00FF2684" w:rsidRPr="002A279A">
        <w:t>p</w:t>
      </w:r>
      <w:r w:rsidR="00E80F06" w:rsidRPr="002A279A">
        <w:t>roblems</w:t>
      </w:r>
      <w:r w:rsidR="00E80F06">
        <w:t xml:space="preserve"> with </w:t>
      </w:r>
      <w:r w:rsidR="00FF2684">
        <w:t xml:space="preserve">the current </w:t>
      </w:r>
      <w:r w:rsidR="008800C9">
        <w:t>Code provisions</w:t>
      </w:r>
      <w:bookmarkEnd w:id="17"/>
    </w:p>
    <w:p w14:paraId="7864A539" w14:textId="583992E1" w:rsidR="00E80F06" w:rsidRDefault="00335079" w:rsidP="008800C9">
      <w:pPr>
        <w:pStyle w:val="Heading2"/>
      </w:pPr>
      <w:bookmarkStart w:id="18" w:name="_Toc436754810"/>
      <w:r>
        <w:t>2</w:t>
      </w:r>
      <w:r w:rsidR="00E80F06">
        <w:t>.1</w:t>
      </w:r>
      <w:r w:rsidR="00E80F06">
        <w:tab/>
      </w:r>
      <w:r w:rsidR="008800C9">
        <w:t>Used as a nutritive substance</w:t>
      </w:r>
      <w:bookmarkEnd w:id="18"/>
    </w:p>
    <w:p w14:paraId="59F3FD2C" w14:textId="77777777" w:rsidR="00335079" w:rsidRDefault="008800C9" w:rsidP="008800C9">
      <w:r>
        <w:t>The Supreme Court of New South Wales (2009) identified a number of ambiguous terms in the current definition of nutritive substance that made interpretation very difficult</w:t>
      </w:r>
      <w:r w:rsidR="00611776">
        <w:rPr>
          <w:rStyle w:val="FootnoteReference"/>
        </w:rPr>
        <w:footnoteReference w:id="6"/>
      </w:r>
      <w:r>
        <w:t xml:space="preserve">. These terms are still included in the revised Code’s definition of ‘used as a nutritive substance’. </w:t>
      </w:r>
      <w:r w:rsidR="00335079">
        <w:br w:type="page"/>
      </w:r>
    </w:p>
    <w:p w14:paraId="48237278" w14:textId="18B10405" w:rsidR="008800C9" w:rsidRDefault="008800C9" w:rsidP="008800C9">
      <w:r w:rsidRPr="00C25C24">
        <w:lastRenderedPageBreak/>
        <w:t xml:space="preserve">The terms themselves </w:t>
      </w:r>
      <w:r>
        <w:t xml:space="preserve">are </w:t>
      </w:r>
      <w:r w:rsidRPr="00C25C24">
        <w:t>not clearly defined</w:t>
      </w:r>
      <w:r>
        <w:t xml:space="preserve"> elsewhere in the Code</w:t>
      </w:r>
      <w:r w:rsidRPr="00C25C24">
        <w:t xml:space="preserve">. In particular, terms like </w:t>
      </w:r>
      <w:r w:rsidRPr="00C25C24">
        <w:rPr>
          <w:i/>
        </w:rPr>
        <w:t>normally consumed</w:t>
      </w:r>
      <w:r>
        <w:t xml:space="preserve"> and</w:t>
      </w:r>
      <w:r w:rsidRPr="00C25C24">
        <w:t xml:space="preserve"> </w:t>
      </w:r>
      <w:r>
        <w:rPr>
          <w:i/>
        </w:rPr>
        <w:t>nutritional</w:t>
      </w:r>
      <w:r w:rsidRPr="00C25C24">
        <w:rPr>
          <w:i/>
        </w:rPr>
        <w:t xml:space="preserve"> purpose</w:t>
      </w:r>
      <w:r w:rsidRPr="00C25C24">
        <w:t xml:space="preserve"> are not defined in the Code. The lack of clear meaning of these terms creates uncertainty and ambiguity in the overarching de</w:t>
      </w:r>
      <w:r>
        <w:t>finition of ‘used as a nutritive substance’</w:t>
      </w:r>
      <w:r w:rsidRPr="00C25C24">
        <w:t>. This uncertainty makes it difficult to be certain whether particular substances require specific permission in the Code before they can be added to</w:t>
      </w:r>
      <w:r>
        <w:t>,</w:t>
      </w:r>
      <w:r w:rsidRPr="00C25C24">
        <w:t xml:space="preserve"> or sold as</w:t>
      </w:r>
      <w:r>
        <w:t>,</w:t>
      </w:r>
      <w:r w:rsidRPr="00C25C24">
        <w:t xml:space="preserve"> foods.</w:t>
      </w:r>
    </w:p>
    <w:p w14:paraId="12EB3BB0" w14:textId="77777777" w:rsidR="008800C9" w:rsidRDefault="008800C9" w:rsidP="008800C9"/>
    <w:p w14:paraId="655D9D76" w14:textId="77777777" w:rsidR="008800C9" w:rsidRDefault="008800C9" w:rsidP="008800C9">
      <w:r>
        <w:t>The major difficulty arises for substances that may be subject to the definition. Vitamins and minerals and other substances that are specifically referred to</w:t>
      </w:r>
      <w:r w:rsidR="001760AB">
        <w:t xml:space="preserve"> or have specific permissions</w:t>
      </w:r>
      <w:r>
        <w:t xml:space="preserve"> in the Code as nutritive substances are straightforward as they are clearly ident</w:t>
      </w:r>
      <w:r w:rsidR="001760AB">
        <w:t xml:space="preserve">ified as nutritive substances. </w:t>
      </w:r>
      <w:r w:rsidR="00352C51">
        <w:t xml:space="preserve">However, it is a matter of interpretation as </w:t>
      </w:r>
      <w:r w:rsidR="002A279A">
        <w:t xml:space="preserve">to </w:t>
      </w:r>
      <w:r w:rsidR="00352C51">
        <w:t>whether s</w:t>
      </w:r>
      <w:r>
        <w:t xml:space="preserve">ubstances that are not specifically identified in the Code </w:t>
      </w:r>
      <w:r w:rsidR="00352C51">
        <w:t>constitute</w:t>
      </w:r>
      <w:r>
        <w:t xml:space="preserve"> nutritive substances. </w:t>
      </w:r>
    </w:p>
    <w:p w14:paraId="536E9F7E" w14:textId="77777777" w:rsidR="008800C9" w:rsidRDefault="008800C9" w:rsidP="008800C9"/>
    <w:p w14:paraId="55E986A1" w14:textId="77777777" w:rsidR="00DD72DD" w:rsidRDefault="008800C9" w:rsidP="00D25FFA">
      <w:r>
        <w:t>New food substances are being developed as the food industry continues to innovate in the area of functional foods. Many of these substances may be considered to be added for nutritional purposes. It is not possible to predict the exact nature of nutritive substances that may be developed in the future. The current definition attempts to overcome the absence of knowledge of substances yet to be developed by the inclusion of terms like ‘</w:t>
      </w:r>
      <w:r w:rsidRPr="00DD47F6">
        <w:t>normally consumed as a food</w:t>
      </w:r>
      <w:r>
        <w:t xml:space="preserve">’, and ‘achieve a </w:t>
      </w:r>
      <w:r w:rsidRPr="00DD47F6">
        <w:t>nutritional purpose</w:t>
      </w:r>
      <w:r>
        <w:t>’, which provide flexibility at the expense of certainty.</w:t>
      </w:r>
    </w:p>
    <w:p w14:paraId="7ADEB0DE" w14:textId="270326AE" w:rsidR="008800C9" w:rsidRDefault="00335079" w:rsidP="008800C9">
      <w:pPr>
        <w:pStyle w:val="Heading2"/>
      </w:pPr>
      <w:bookmarkStart w:id="19" w:name="_Toc436754811"/>
      <w:r>
        <w:t>2</w:t>
      </w:r>
      <w:r w:rsidR="008800C9">
        <w:t>.2</w:t>
      </w:r>
      <w:r w:rsidR="008800C9">
        <w:tab/>
        <w:t>Novel foods</w:t>
      </w:r>
      <w:bookmarkEnd w:id="19"/>
    </w:p>
    <w:p w14:paraId="06F3E25E" w14:textId="29ED5710" w:rsidR="008800C9" w:rsidRDefault="008E068C" w:rsidP="008800C9">
      <w:r>
        <w:t xml:space="preserve">‘Novel food’ is defined </w:t>
      </w:r>
      <w:r w:rsidR="0001110C">
        <w:t xml:space="preserve">in the Code </w:t>
      </w:r>
      <w:r>
        <w:t xml:space="preserve">as a </w:t>
      </w:r>
      <w:r w:rsidRPr="008E068C">
        <w:rPr>
          <w:i/>
        </w:rPr>
        <w:t>‘non-traditional food’ that requires an assessment of public health and safety considerations having regard to</w:t>
      </w:r>
      <w:r>
        <w:t xml:space="preserve"> (a number of matters which are set out in the definition). Therefore, a novel food must first be considered a ‘non-traditional’ food. ‘Non-traditional’ food is also defined. </w:t>
      </w:r>
    </w:p>
    <w:p w14:paraId="1EA7A7AB" w14:textId="77777777" w:rsidR="0073459C" w:rsidRPr="00C25C24" w:rsidRDefault="0073459C" w:rsidP="008800C9"/>
    <w:p w14:paraId="7684DA0A" w14:textId="11A243CB" w:rsidR="0073459C" w:rsidRDefault="008800C9" w:rsidP="003D6E98">
      <w:r w:rsidRPr="00C25C24">
        <w:t xml:space="preserve">The definition of ‘non-traditional food’ includes the term </w:t>
      </w:r>
      <w:r w:rsidRPr="00C25C24">
        <w:rPr>
          <w:i/>
        </w:rPr>
        <w:t>history of human consumption</w:t>
      </w:r>
      <w:r w:rsidRPr="00C25C24">
        <w:t xml:space="preserve">, which is not defined in the Code. </w:t>
      </w:r>
      <w:r>
        <w:t>As such,</w:t>
      </w:r>
      <w:r w:rsidRPr="00C25C24">
        <w:t xml:space="preserve"> the definition of non-traditional food is subject to a similar level of uncertainty and ambiguity as the definition of nutritive substance. Therefore, it is difficult to be certain which foods should be considered non-traditional and </w:t>
      </w:r>
      <w:r w:rsidR="0073459C">
        <w:t xml:space="preserve">subsequently </w:t>
      </w:r>
      <w:r w:rsidRPr="00C25C24">
        <w:t>whether they should be subject to the second arm of the definition of novel food</w:t>
      </w:r>
      <w:r w:rsidR="0001110C">
        <w:t xml:space="preserve"> i.e. whether </w:t>
      </w:r>
      <w:r w:rsidR="0073459C">
        <w:t xml:space="preserve">a non-traditional food </w:t>
      </w:r>
      <w:r w:rsidRPr="00C25C24">
        <w:rPr>
          <w:i/>
        </w:rPr>
        <w:t>requires an assessment of the public health and safety considerations</w:t>
      </w:r>
      <w:r w:rsidRPr="00C25C24">
        <w:t xml:space="preserve">. This </w:t>
      </w:r>
      <w:r w:rsidR="000D02C0">
        <w:t xml:space="preserve">italicised </w:t>
      </w:r>
      <w:r w:rsidRPr="00C25C24">
        <w:t xml:space="preserve">phrase is also considered to be ambiguous and not clearly defined elsewhere in the Code. However, this ambiguity raises an additional problem to those identified above for the definitions of nutritive substance and non-traditional food. </w:t>
      </w:r>
      <w:r>
        <w:t>Applying t</w:t>
      </w:r>
      <w:r w:rsidRPr="00C25C24">
        <w:t xml:space="preserve">he phrase means that it is a matter of judgment or estimation as to whether an assessment is required. This leads to uncertainty for any particular food (as for nutritive substances and non-traditional foods), but also means that the requirements of the standard itself </w:t>
      </w:r>
      <w:r>
        <w:t xml:space="preserve">are based on uncertainty </w:t>
      </w:r>
      <w:r w:rsidRPr="00C25C24">
        <w:t>when they should be objective and clearly interpretable</w:t>
      </w:r>
      <w:r>
        <w:t>.</w:t>
      </w:r>
      <w:r w:rsidRPr="00C25C24">
        <w:t xml:space="preserve"> </w:t>
      </w:r>
    </w:p>
    <w:p w14:paraId="5C1F77DB" w14:textId="77777777" w:rsidR="0073459C" w:rsidRDefault="0073459C" w:rsidP="003D6E98"/>
    <w:p w14:paraId="1BBD461B" w14:textId="61AD9AFB" w:rsidR="008800C9" w:rsidRPr="00C25C24" w:rsidRDefault="008800C9" w:rsidP="003D6E98">
      <w:r>
        <w:t xml:space="preserve">In addition, the Standard fails to make it clear who is responsible for determining whether an assessment is required and subsequently who should undertake the assessment. Food enforcement agencies have advised FSANZ that this aspect of the definition presents difficulties when determining whether a food is novel or not, particularly in relation to who makes that decision. While a food enforcement agency may consider that an assessment is required (i.e. the food is novel), it is possible for a food business to argue that they have done the relevant assessment and on that basis the food they are supplying is safe and therefore not novel. </w:t>
      </w:r>
    </w:p>
    <w:p w14:paraId="47374A0F" w14:textId="77777777" w:rsidR="008800C9" w:rsidRPr="00C25C24" w:rsidRDefault="008800C9" w:rsidP="008800C9"/>
    <w:p w14:paraId="3A6B3527" w14:textId="77777777" w:rsidR="00335079" w:rsidRDefault="008800C9" w:rsidP="00D25FFA">
      <w:r>
        <w:t xml:space="preserve">The current definition of novel food was included in Standard 1.5.1 after the completion of Proposal P291 – Review of Novel Food Standard. Another outcome from Proposal P291 was to establish the FSANZ Advisory Committee on Novel Foods (ACNF). </w:t>
      </w:r>
      <w:r w:rsidR="00335079">
        <w:br w:type="page"/>
      </w:r>
    </w:p>
    <w:p w14:paraId="2F20E988" w14:textId="0C412669" w:rsidR="007B63D1" w:rsidRDefault="008800C9" w:rsidP="00D25FFA">
      <w:r>
        <w:lastRenderedPageBreak/>
        <w:t>The ACNF includes representatives from food enforcement agencies in Australia and New Zealand and was established to provide recommendations with respect to whether foods may meet the definition of novel food. The ACNF’s recommendations are published on the FSANZ website. The recommendations provided to FSANZ by the ACNF provide some guidance on whether a food may be considered novel or not. However, the recommendations are not legal decisions and have no legal status.</w:t>
      </w:r>
      <w:r w:rsidR="007B63D1">
        <w:t xml:space="preserve"> </w:t>
      </w:r>
    </w:p>
    <w:p w14:paraId="1CABD635" w14:textId="77777777" w:rsidR="007B63D1" w:rsidRDefault="007B63D1" w:rsidP="00D25FFA"/>
    <w:p w14:paraId="074573E4" w14:textId="1EC4B938" w:rsidR="007B63D1" w:rsidRDefault="007B63D1" w:rsidP="00D25FFA">
      <w:r>
        <w:t>The existence of the ACNF is an acknowledgement that the definitions of n</w:t>
      </w:r>
      <w:r w:rsidR="00711D50">
        <w:t>on-traditional food</w:t>
      </w:r>
      <w:r>
        <w:t xml:space="preserve"> and novel food rely on uncertain concepts, and accordingly, the standard fails to deliver the level of certainty and objectivity required for effective operation of the standard in the food regulatory system. </w:t>
      </w:r>
    </w:p>
    <w:p w14:paraId="0E7BB3FE" w14:textId="65CF6B64" w:rsidR="00DE7AD1" w:rsidRDefault="00335079" w:rsidP="008800C9">
      <w:pPr>
        <w:pStyle w:val="Heading2"/>
      </w:pPr>
      <w:bookmarkStart w:id="20" w:name="_Toc436754812"/>
      <w:r>
        <w:t>2</w:t>
      </w:r>
      <w:r w:rsidR="008800C9">
        <w:t>.3</w:t>
      </w:r>
      <w:r w:rsidR="008800C9">
        <w:tab/>
        <w:t>Definitional overlap</w:t>
      </w:r>
      <w:bookmarkEnd w:id="20"/>
    </w:p>
    <w:p w14:paraId="470EFFB0" w14:textId="16913A26" w:rsidR="008800C9" w:rsidRDefault="008800C9" w:rsidP="00D25FFA">
      <w:r>
        <w:t>FSANZ has observed that an increasing number of substances intended to be added to food to achieve a health effect could be considered under both the nutritive substance and novel food definitions. A number of enquiries to the ACNF have been for substances that may be considered in the context of either definition. This overlap is also reflected in the data requirements for applications to amend the Code, in the FSANZ Application Handbook. All applications to amend the Code must meet the requirements of the Application Handbook. The data requirements for applications for nutritive substances and novel foods are very similar, particularly in relation to establishing safety.</w:t>
      </w:r>
    </w:p>
    <w:p w14:paraId="5C708930" w14:textId="77777777" w:rsidR="00572E24" w:rsidRDefault="00572E24" w:rsidP="00D25FFA"/>
    <w:p w14:paraId="2573CDDE" w14:textId="19C85BEF" w:rsidR="008800C9" w:rsidRDefault="00335079" w:rsidP="00414C9E">
      <w:pPr>
        <w:pStyle w:val="Heading1"/>
      </w:pPr>
      <w:bookmarkStart w:id="21" w:name="_Toc436754813"/>
      <w:r>
        <w:t>3</w:t>
      </w:r>
      <w:r w:rsidR="00414C9E">
        <w:tab/>
        <w:t>Risk Assessment</w:t>
      </w:r>
      <w:bookmarkEnd w:id="21"/>
    </w:p>
    <w:p w14:paraId="66AD89B3" w14:textId="2C484FBF" w:rsidR="00E80F06" w:rsidRDefault="00A77F1B" w:rsidP="00D25FFA">
      <w:r>
        <w:t xml:space="preserve">Foods which are new to the food supply may present microbiological, toxicological or nutritional risks, as discussed in SD2. </w:t>
      </w:r>
      <w:r w:rsidR="00414C9E">
        <w:t xml:space="preserve">The problems identified in section </w:t>
      </w:r>
      <w:r w:rsidR="00CA7CFB">
        <w:t>2</w:t>
      </w:r>
      <w:r w:rsidR="00414C9E">
        <w:t xml:space="preserve"> mean that it is difficult to determine whether </w:t>
      </w:r>
      <w:r w:rsidR="00B54AB5">
        <w:t>a substance or food should be subject pre-market approval by FSANZ</w:t>
      </w:r>
      <w:r>
        <w:t xml:space="preserve"> in order to determine if these risks have been assessed and managed prior to marketing</w:t>
      </w:r>
      <w:r w:rsidR="00B54AB5">
        <w:t xml:space="preserve">. It is also not clear who is responsible for determining whether an assessment </w:t>
      </w:r>
      <w:proofErr w:type="gramStart"/>
      <w:r w:rsidR="00B54AB5">
        <w:t>is required</w:t>
      </w:r>
      <w:proofErr w:type="gramEnd"/>
      <w:r w:rsidR="00B54AB5">
        <w:t>, nor who should undertake the assessment. These difficulties create</w:t>
      </w:r>
      <w:r w:rsidR="00414C9E">
        <w:t xml:space="preserve"> uncertainty in the market place. The impact of this uncertainty, particularly </w:t>
      </w:r>
      <w:r w:rsidR="00CC09F1">
        <w:t>in relation to risks faced by</w:t>
      </w:r>
      <w:r w:rsidR="00414C9E">
        <w:t xml:space="preserve"> food enforcement agencies and industry, is explored in this section. </w:t>
      </w:r>
    </w:p>
    <w:p w14:paraId="2A887FE1" w14:textId="76974358" w:rsidR="00E80F06" w:rsidRDefault="00335079" w:rsidP="00414C9E">
      <w:pPr>
        <w:pStyle w:val="Heading2"/>
      </w:pPr>
      <w:bookmarkStart w:id="22" w:name="_Toc436754814"/>
      <w:r>
        <w:t>3</w:t>
      </w:r>
      <w:r w:rsidR="00414C9E">
        <w:t>.1</w:t>
      </w:r>
      <w:r w:rsidR="00414C9E">
        <w:tab/>
        <w:t xml:space="preserve">Food </w:t>
      </w:r>
      <w:r w:rsidR="00414C9E" w:rsidRPr="00414C9E">
        <w:t>enforcement</w:t>
      </w:r>
      <w:r w:rsidR="00414C9E">
        <w:t xml:space="preserve"> agencies</w:t>
      </w:r>
      <w:bookmarkEnd w:id="22"/>
    </w:p>
    <w:p w14:paraId="4F1833BB" w14:textId="7C049FAF" w:rsidR="00414C9E" w:rsidRDefault="00414C9E" w:rsidP="00414C9E">
      <w:pPr>
        <w:rPr>
          <w:rFonts w:cstheme="minorBidi"/>
          <w:szCs w:val="22"/>
        </w:rPr>
      </w:pPr>
      <w:r>
        <w:rPr>
          <w:rFonts w:cstheme="minorBidi"/>
          <w:szCs w:val="22"/>
        </w:rPr>
        <w:t xml:space="preserve">Uncertainty creates challenges for food enforcement agencies in determining compliance of food products with the Code and in taking action against food products that are considered by the agency to be non-compliant. This can be particularly problematic when a product being sold to consumers contains an ingredient that a food enforcement agency considers to be a nutritive substance or a novel food that is not listed in the Code. A food enforcement agency may advise the food manufacturer or supplier of this view and recommend the company cease supply and submit an application to FSANZ to have the food assessed for safety. </w:t>
      </w:r>
    </w:p>
    <w:p w14:paraId="7242B1C8" w14:textId="77777777" w:rsidR="008D37F5" w:rsidRDefault="008D37F5" w:rsidP="00414C9E">
      <w:pPr>
        <w:rPr>
          <w:rFonts w:cstheme="minorBidi"/>
          <w:szCs w:val="22"/>
        </w:rPr>
      </w:pPr>
    </w:p>
    <w:p w14:paraId="4E76DEC1" w14:textId="77777777" w:rsidR="00335079" w:rsidRDefault="00414C9E" w:rsidP="00414C9E">
      <w:pPr>
        <w:rPr>
          <w:rFonts w:cstheme="minorBidi"/>
          <w:szCs w:val="22"/>
        </w:rPr>
      </w:pPr>
      <w:r>
        <w:rPr>
          <w:rFonts w:cstheme="minorBidi"/>
          <w:szCs w:val="22"/>
        </w:rPr>
        <w:t xml:space="preserve">However, if the food company disagrees with the food enforcement agency’s view, the matter may need to be decided in court, which can be costly and time consuming. The absence of objective clarity in the definitions in the Code may make it difficult for a food enforcement agency to establish clearly that a particular ingredient meets one of the definitions. It is possible that even if a food enforcement agency is of the view that a particular food or ingredient meets one of the definitions, the agency may not be willing to take court action to ensure the food or ingredient undergoes a regulatory pre-market assessment before it can be sold. </w:t>
      </w:r>
      <w:r w:rsidR="00335079">
        <w:rPr>
          <w:rFonts w:cstheme="minorBidi"/>
          <w:szCs w:val="22"/>
        </w:rPr>
        <w:br w:type="page"/>
      </w:r>
    </w:p>
    <w:p w14:paraId="6E857ADA" w14:textId="1E58C47E" w:rsidR="00414C9E" w:rsidRPr="00DC0C01" w:rsidRDefault="00414C9E" w:rsidP="00414C9E">
      <w:r>
        <w:rPr>
          <w:rFonts w:cstheme="minorBidi"/>
          <w:szCs w:val="22"/>
        </w:rPr>
        <w:lastRenderedPageBreak/>
        <w:t>The risk of court proceedings being decided in favour of the food company, due to the ambiguous nature of the definition(s) in the Code, may be too high for the food enforcement agency to be willing to pursue court action.</w:t>
      </w:r>
      <w:r w:rsidR="00DC0C01" w:rsidRPr="00DC0C01">
        <w:rPr>
          <w:rFonts w:cstheme="minorBidi"/>
          <w:szCs w:val="22"/>
        </w:rPr>
        <w:t xml:space="preserve"> </w:t>
      </w:r>
      <w:r w:rsidR="00DC0C01">
        <w:rPr>
          <w:rFonts w:cstheme="minorBidi"/>
          <w:szCs w:val="22"/>
        </w:rPr>
        <w:t xml:space="preserve">A case study is provided in Attachment B to illustrate the practical impact of the problems enforcement agencies have faced in relation to taking action against a product containing an ingredient that was likely to be novel. </w:t>
      </w:r>
    </w:p>
    <w:p w14:paraId="11C6E8F2" w14:textId="77777777" w:rsidR="00414C9E" w:rsidRDefault="00414C9E" w:rsidP="00414C9E">
      <w:pPr>
        <w:rPr>
          <w:rFonts w:cstheme="minorBidi"/>
          <w:szCs w:val="22"/>
        </w:rPr>
      </w:pPr>
    </w:p>
    <w:p w14:paraId="16E34709" w14:textId="28B0DB74" w:rsidR="00414C9E" w:rsidRDefault="00414C9E" w:rsidP="00414C9E">
      <w:pPr>
        <w:rPr>
          <w:rFonts w:cstheme="minorBidi"/>
          <w:szCs w:val="22"/>
        </w:rPr>
      </w:pPr>
      <w:r>
        <w:rPr>
          <w:rFonts w:cstheme="minorBidi"/>
          <w:szCs w:val="22"/>
        </w:rPr>
        <w:t xml:space="preserve">If the food enforcement agency is concerned that the food or ingredient poses a threat to consumer safety, it may decide to take action based on provisions in other legislation such as the Food Act requirements relating to the supply of unsafe or unsuitable food. However, </w:t>
      </w:r>
      <w:r w:rsidR="002752EB">
        <w:rPr>
          <w:rFonts w:cstheme="minorBidi"/>
          <w:szCs w:val="22"/>
        </w:rPr>
        <w:t>effective enforcement action for unsafe food can be difficult. T</w:t>
      </w:r>
      <w:r>
        <w:rPr>
          <w:rFonts w:cstheme="minorBidi"/>
          <w:szCs w:val="22"/>
        </w:rPr>
        <w:t xml:space="preserve">he onus of proof is again on the food </w:t>
      </w:r>
      <w:r w:rsidR="00DE64B7">
        <w:rPr>
          <w:rFonts w:cstheme="minorBidi"/>
          <w:szCs w:val="22"/>
        </w:rPr>
        <w:t xml:space="preserve">enforcement agency to establish, beyond reasonable doubt, </w:t>
      </w:r>
      <w:r>
        <w:rPr>
          <w:rFonts w:cstheme="minorBidi"/>
          <w:szCs w:val="22"/>
        </w:rPr>
        <w:t xml:space="preserve">that the food or ingredient poses an obvious and irrefutable safety concern. It is possible that a court will find in favour of a defendant if there is any uncertainty in relation to a direct causal link between consumption of </w:t>
      </w:r>
      <w:r w:rsidR="002752EB">
        <w:rPr>
          <w:rFonts w:cstheme="minorBidi"/>
          <w:szCs w:val="22"/>
        </w:rPr>
        <w:t xml:space="preserve">the food and harm to a consumer. This can be a barrier to successful prosecution in the absence of objective criteria for safety and </w:t>
      </w:r>
      <w:r>
        <w:rPr>
          <w:rFonts w:cstheme="minorBidi"/>
          <w:szCs w:val="22"/>
        </w:rPr>
        <w:t xml:space="preserve">may discourage a food enforcement agency from pursuing court action. </w:t>
      </w:r>
    </w:p>
    <w:p w14:paraId="2828E3CF" w14:textId="77777777" w:rsidR="00414C9E" w:rsidRDefault="00414C9E" w:rsidP="00414C9E">
      <w:pPr>
        <w:rPr>
          <w:rFonts w:cstheme="minorBidi"/>
          <w:szCs w:val="22"/>
        </w:rPr>
      </w:pPr>
    </w:p>
    <w:p w14:paraId="43B8573D" w14:textId="77777777" w:rsidR="00E80F06" w:rsidRDefault="00414C9E" w:rsidP="00E80F06">
      <w:pPr>
        <w:rPr>
          <w:rFonts w:cstheme="minorBidi"/>
          <w:szCs w:val="22"/>
        </w:rPr>
      </w:pPr>
      <w:r>
        <w:rPr>
          <w:rFonts w:cstheme="minorBidi"/>
          <w:szCs w:val="22"/>
        </w:rPr>
        <w:t xml:space="preserve">Food enforcement agencies have advised FSANZ that their ability to remove foods </w:t>
      </w:r>
      <w:r w:rsidR="003B1524">
        <w:rPr>
          <w:rFonts w:cstheme="minorBidi"/>
          <w:szCs w:val="22"/>
        </w:rPr>
        <w:t xml:space="preserve">from the market which </w:t>
      </w:r>
      <w:r>
        <w:rPr>
          <w:rFonts w:cstheme="minorBidi"/>
          <w:szCs w:val="22"/>
        </w:rPr>
        <w:t>they consider non-compliant is largely determined by the willingness of food businesses to co-operate and voluntarily withdraw products. Some food businesses may refuse to cease supply or remove from supply products that a food enforcement agency considers non-compliant, knowing that enforcement action is unlikely to progress to court if there are no obvious adverse effects in consumers that can be directly linked with the product.</w:t>
      </w:r>
    </w:p>
    <w:p w14:paraId="11F78D3D" w14:textId="77777777" w:rsidR="00CA6A49" w:rsidRDefault="00CA6A49" w:rsidP="00E80F06">
      <w:pPr>
        <w:rPr>
          <w:rFonts w:cstheme="minorBidi"/>
          <w:szCs w:val="22"/>
        </w:rPr>
      </w:pPr>
    </w:p>
    <w:p w14:paraId="60F21AF9" w14:textId="57256C8C" w:rsidR="00DC0C01" w:rsidRDefault="00DC0C01" w:rsidP="00E80F06">
      <w:pPr>
        <w:rPr>
          <w:rFonts w:cstheme="minorBidi"/>
          <w:szCs w:val="22"/>
        </w:rPr>
      </w:pPr>
      <w:r w:rsidRPr="00A43A40">
        <w:rPr>
          <w:rFonts w:cstheme="minorBidi"/>
          <w:szCs w:val="22"/>
        </w:rPr>
        <w:t xml:space="preserve">FSANZ </w:t>
      </w:r>
      <w:r w:rsidR="004E217B">
        <w:rPr>
          <w:rFonts w:cstheme="minorBidi"/>
          <w:szCs w:val="22"/>
        </w:rPr>
        <w:t xml:space="preserve">has recently </w:t>
      </w:r>
      <w:r w:rsidR="002C285B">
        <w:rPr>
          <w:rFonts w:cstheme="minorBidi"/>
          <w:szCs w:val="22"/>
        </w:rPr>
        <w:t xml:space="preserve">conducted a </w:t>
      </w:r>
      <w:r w:rsidRPr="00A43A40">
        <w:rPr>
          <w:rFonts w:cstheme="minorBidi"/>
          <w:szCs w:val="22"/>
        </w:rPr>
        <w:t xml:space="preserve">search on food products being offered for sale </w:t>
      </w:r>
      <w:r w:rsidR="002C285B">
        <w:rPr>
          <w:rFonts w:cstheme="minorBidi"/>
          <w:szCs w:val="22"/>
        </w:rPr>
        <w:t xml:space="preserve">on the internet </w:t>
      </w:r>
      <w:r w:rsidRPr="00A43A40">
        <w:rPr>
          <w:rFonts w:cstheme="minorBidi"/>
          <w:szCs w:val="22"/>
        </w:rPr>
        <w:t xml:space="preserve">containing ingredients considered by the ACNF/NFRG to be novel but did not have permission in the Code. The search identified a number of the foods considered novel by the ACNF/NFRG that were present in food products offered for sale in </w:t>
      </w:r>
      <w:r w:rsidR="002C285B">
        <w:rPr>
          <w:rFonts w:cstheme="minorBidi"/>
          <w:szCs w:val="22"/>
        </w:rPr>
        <w:t xml:space="preserve">niche markets </w:t>
      </w:r>
      <w:r w:rsidRPr="00A43A40">
        <w:rPr>
          <w:rFonts w:cstheme="minorBidi"/>
          <w:szCs w:val="22"/>
        </w:rPr>
        <w:t>Australia and New Zealand.</w:t>
      </w:r>
      <w:r>
        <w:rPr>
          <w:rFonts w:cstheme="minorBidi"/>
          <w:szCs w:val="22"/>
        </w:rPr>
        <w:t xml:space="preserve"> </w:t>
      </w:r>
      <w:r w:rsidR="00926452">
        <w:rPr>
          <w:rFonts w:cstheme="minorBidi"/>
          <w:szCs w:val="22"/>
        </w:rPr>
        <w:t>As noted above the current standard does not clearly identify who is responsible for determining whether a food requires a safety assessment, and therefore should be considered as novel and captured under the requirements for pre-approval. A manufacturer may consider the food to be safe, despite the opinion of the ACNF</w:t>
      </w:r>
      <w:r w:rsidR="004E217B">
        <w:rPr>
          <w:rFonts w:cstheme="minorBidi"/>
          <w:szCs w:val="22"/>
        </w:rPr>
        <w:t xml:space="preserve"> or may have additional information on safety not available to the ACNF at the time their opinion was issued</w:t>
      </w:r>
      <w:r w:rsidR="00926452">
        <w:rPr>
          <w:rFonts w:cstheme="minorBidi"/>
          <w:szCs w:val="22"/>
        </w:rPr>
        <w:t xml:space="preserve">. As discussed above, this limits the ability of food enforcement agencies to determine compliance with the standard. </w:t>
      </w:r>
    </w:p>
    <w:p w14:paraId="4301BD0A" w14:textId="07F2F5A8" w:rsidR="00E80F06" w:rsidRDefault="00335079" w:rsidP="00414C9E">
      <w:pPr>
        <w:pStyle w:val="Heading2"/>
      </w:pPr>
      <w:bookmarkStart w:id="23" w:name="_Toc436754815"/>
      <w:r>
        <w:t>3</w:t>
      </w:r>
      <w:r w:rsidR="00414C9E">
        <w:t>.2</w:t>
      </w:r>
      <w:r w:rsidR="00414C9E">
        <w:tab/>
        <w:t>Food industry</w:t>
      </w:r>
      <w:bookmarkEnd w:id="23"/>
    </w:p>
    <w:p w14:paraId="34BE08C4" w14:textId="77777777" w:rsidR="00414C9E" w:rsidRDefault="00414C9E" w:rsidP="00414C9E">
      <w:pPr>
        <w:rPr>
          <w:rFonts w:cstheme="minorBidi"/>
          <w:szCs w:val="22"/>
        </w:rPr>
      </w:pPr>
      <w:r>
        <w:rPr>
          <w:rFonts w:cstheme="minorBidi"/>
          <w:szCs w:val="22"/>
        </w:rPr>
        <w:t>The difficulty in interpreting the definitions also creates problems for industry. Food companies may not be certain whether a new food or ingredient requires permission in the Code before it can be sold as food, or as an ingredient in food in Australia and New Zealand. It is therefore difficult to be certain whether a new food may require the submission of an application to FSANZ for regulatory pre-market assessment if there is no current permission for the food in the Code. Even if a food company considers their product is not a nutritive substance or novel food they may be subject to enforcement action if a food enforcement agency has an opposing view. This can create uncertainty for the food company in relation to compliance and potentially interrupt or delay the supply of their product.</w:t>
      </w:r>
    </w:p>
    <w:p w14:paraId="796322C3" w14:textId="77777777" w:rsidR="00414C9E" w:rsidRDefault="00414C9E" w:rsidP="00414C9E">
      <w:pPr>
        <w:rPr>
          <w:rFonts w:cstheme="minorBidi"/>
          <w:szCs w:val="22"/>
        </w:rPr>
      </w:pPr>
    </w:p>
    <w:p w14:paraId="6B3991B1" w14:textId="3653BD76" w:rsidR="00414C9E" w:rsidRDefault="00414C9E" w:rsidP="00414C9E">
      <w:pPr>
        <w:rPr>
          <w:rFonts w:cstheme="minorBidi"/>
          <w:szCs w:val="22"/>
        </w:rPr>
      </w:pPr>
      <w:r>
        <w:rPr>
          <w:rFonts w:cstheme="minorBidi"/>
          <w:szCs w:val="22"/>
        </w:rPr>
        <w:t xml:space="preserve">Despite this uncertainty, industry has indicated to FSANZ that the current ACNF process is, in their view, a useful avenue for providing clarification on the regulatory status of foods that may potentially be subject to the novel food standard. This is particularly the case for foods that the ACNF does not consider to be novel. The expectation is that for foods the ACNF does not consider to be novel, a regulatory pre-market assessment is not required and the food can be supplied on the market (assuming it meets any other relevant requirements in </w:t>
      </w:r>
      <w:r>
        <w:rPr>
          <w:rFonts w:cstheme="minorBidi"/>
          <w:szCs w:val="22"/>
        </w:rPr>
        <w:lastRenderedPageBreak/>
        <w:t xml:space="preserve">food legislation). </w:t>
      </w:r>
      <w:r w:rsidR="00DE64B7">
        <w:rPr>
          <w:rFonts w:cstheme="minorBidi"/>
          <w:szCs w:val="22"/>
        </w:rPr>
        <w:t xml:space="preserve">Over two-thirds of the enquiries submitted to the ACNF have been for foods the committee did not consider to be novel. This suggests </w:t>
      </w:r>
      <w:r w:rsidR="00114035">
        <w:rPr>
          <w:rFonts w:cstheme="minorBidi"/>
          <w:szCs w:val="22"/>
        </w:rPr>
        <w:t xml:space="preserve">that some food industry businesses see the need to seek clarification from the ACNF that their foods are unlikely to be novel, either because they seek assurance or because they are genuinely uncertain. The preparation of enquiries to the ACNF, and the consideration of these enquiries by the committee </w:t>
      </w:r>
      <w:proofErr w:type="gramStart"/>
      <w:r w:rsidR="00114035">
        <w:rPr>
          <w:rFonts w:cstheme="minorBidi"/>
          <w:szCs w:val="22"/>
        </w:rPr>
        <w:t>places</w:t>
      </w:r>
      <w:proofErr w:type="gramEnd"/>
      <w:r w:rsidR="00114035">
        <w:rPr>
          <w:rFonts w:cstheme="minorBidi"/>
          <w:szCs w:val="22"/>
        </w:rPr>
        <w:t xml:space="preserve"> a cost on industry and government (participants of the ACNF) that </w:t>
      </w:r>
      <w:r>
        <w:rPr>
          <w:rFonts w:cstheme="minorBidi"/>
          <w:szCs w:val="22"/>
        </w:rPr>
        <w:t xml:space="preserve">not be present if the Code’s provisions were more clearly objective, efficient and proportionate to risk. </w:t>
      </w:r>
    </w:p>
    <w:p w14:paraId="522A58ED" w14:textId="0F6E8E34" w:rsidR="00414C9E" w:rsidRDefault="00414C9E" w:rsidP="00414C9E">
      <w:pPr>
        <w:rPr>
          <w:rFonts w:cstheme="minorBidi"/>
          <w:szCs w:val="22"/>
        </w:rPr>
      </w:pPr>
    </w:p>
    <w:p w14:paraId="128A6B45" w14:textId="3DD9FE02" w:rsidR="000D02C0" w:rsidRDefault="00414C9E" w:rsidP="00414C9E">
      <w:pPr>
        <w:rPr>
          <w:rFonts w:cstheme="minorBidi"/>
          <w:szCs w:val="22"/>
        </w:rPr>
      </w:pPr>
      <w:r>
        <w:rPr>
          <w:rFonts w:cstheme="minorBidi"/>
          <w:szCs w:val="22"/>
        </w:rPr>
        <w:t>Compared to the number of enquiries to the ACNF and international approvals of novel foods, FSANZ receives few applications for the assessment of novel foods. This may be partly due to the problems associated with interpreting and enforcing the novel food provisions (i.e. why submit an application for assessment if it is arguable as to whether your food meets the definition of novel food?) as well as the cost of supporting an application for a novel food, taking account of the relatively small size of the Australian and New Zealand food market</w:t>
      </w:r>
      <w:r w:rsidR="00DA5DE1">
        <w:rPr>
          <w:rFonts w:cstheme="minorBidi"/>
          <w:szCs w:val="22"/>
        </w:rPr>
        <w:t xml:space="preserve"> in a global context</w:t>
      </w:r>
      <w:r>
        <w:rPr>
          <w:rFonts w:cstheme="minorBidi"/>
          <w:szCs w:val="22"/>
        </w:rPr>
        <w:t xml:space="preserve">. </w:t>
      </w:r>
    </w:p>
    <w:p w14:paraId="6167F6DC" w14:textId="6018725D" w:rsidR="000D02C0" w:rsidRPr="007B63D1" w:rsidRDefault="00335079" w:rsidP="000D02C0">
      <w:pPr>
        <w:pStyle w:val="Heading2"/>
      </w:pPr>
      <w:bookmarkStart w:id="24" w:name="_Toc436754816"/>
      <w:r>
        <w:t>3</w:t>
      </w:r>
      <w:r w:rsidR="000D02C0">
        <w:t>.3</w:t>
      </w:r>
      <w:r w:rsidR="000D02C0">
        <w:tab/>
        <w:t>Summary of risk assessment</w:t>
      </w:r>
      <w:bookmarkEnd w:id="24"/>
    </w:p>
    <w:bookmarkEnd w:id="4"/>
    <w:bookmarkEnd w:id="5"/>
    <w:bookmarkEnd w:id="6"/>
    <w:bookmarkEnd w:id="7"/>
    <w:bookmarkEnd w:id="8"/>
    <w:bookmarkEnd w:id="9"/>
    <w:bookmarkEnd w:id="10"/>
    <w:p w14:paraId="18DB9D72" w14:textId="0A0DD2EC" w:rsidR="00060E71" w:rsidRDefault="000344D1" w:rsidP="0019356A">
      <w:pPr>
        <w:rPr>
          <w:lang w:bidi="ar-SA"/>
        </w:rPr>
      </w:pPr>
      <w:r>
        <w:rPr>
          <w:lang w:bidi="ar-SA"/>
        </w:rPr>
        <w:t xml:space="preserve">The risk </w:t>
      </w:r>
      <w:r w:rsidR="00A77F1B">
        <w:rPr>
          <w:lang w:bidi="ar-SA"/>
        </w:rPr>
        <w:t>assessment shows that there is a risk that the current regulatory regime is not adequately identifying foods requiring pre-market approval</w:t>
      </w:r>
      <w:r w:rsidR="00516215">
        <w:rPr>
          <w:lang w:bidi="ar-SA"/>
        </w:rPr>
        <w:t xml:space="preserve"> and that this creates uncertainty </w:t>
      </w:r>
      <w:r>
        <w:rPr>
          <w:lang w:bidi="ar-SA"/>
        </w:rPr>
        <w:t xml:space="preserve">for food enforcement agencies and industry. </w:t>
      </w:r>
    </w:p>
    <w:p w14:paraId="6EF2770E" w14:textId="77777777" w:rsidR="000D02C0" w:rsidRDefault="000D02C0" w:rsidP="0019356A">
      <w:pPr>
        <w:rPr>
          <w:lang w:bidi="ar-SA"/>
        </w:rPr>
      </w:pPr>
    </w:p>
    <w:p w14:paraId="3C33EBD1" w14:textId="77777777" w:rsidR="00486037" w:rsidRPr="007B63D1" w:rsidRDefault="00486037" w:rsidP="006F0ECF">
      <w:pPr>
        <w:pBdr>
          <w:top w:val="single" w:sz="4" w:space="1" w:color="auto"/>
          <w:left w:val="single" w:sz="4" w:space="4" w:color="auto"/>
          <w:bottom w:val="single" w:sz="4" w:space="1" w:color="auto"/>
          <w:right w:val="single" w:sz="4" w:space="4" w:color="auto"/>
        </w:pBdr>
        <w:shd w:val="clear" w:color="auto" w:fill="EAF1DD" w:themeFill="accent3" w:themeFillTint="33"/>
        <w:rPr>
          <w:b/>
          <w:lang w:eastAsia="en-AU" w:bidi="ar-SA"/>
        </w:rPr>
      </w:pPr>
      <w:r w:rsidRPr="007B63D1">
        <w:rPr>
          <w:b/>
          <w:lang w:eastAsia="en-AU" w:bidi="ar-SA"/>
        </w:rPr>
        <w:t>Q</w:t>
      </w:r>
      <w:r w:rsidR="00E232D6" w:rsidRPr="007B63D1">
        <w:rPr>
          <w:b/>
          <w:lang w:eastAsia="en-AU" w:bidi="ar-SA"/>
        </w:rPr>
        <w:t>uestions</w:t>
      </w:r>
      <w:r w:rsidRPr="007B63D1">
        <w:rPr>
          <w:b/>
          <w:lang w:eastAsia="en-AU" w:bidi="ar-SA"/>
        </w:rPr>
        <w:t xml:space="preserve">: </w:t>
      </w:r>
    </w:p>
    <w:p w14:paraId="2EEA7CC1" w14:textId="77777777" w:rsidR="00E232D6" w:rsidRPr="007B63D1" w:rsidRDefault="00E232D6"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p>
    <w:p w14:paraId="74C0CB0E" w14:textId="77777777" w:rsidR="00486037" w:rsidRDefault="00486037"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sidRPr="007B63D1">
        <w:rPr>
          <w:lang w:eastAsia="en-AU" w:bidi="ar-SA"/>
        </w:rPr>
        <w:t xml:space="preserve">How </w:t>
      </w:r>
      <w:r>
        <w:rPr>
          <w:lang w:eastAsia="en-AU" w:bidi="ar-SA"/>
        </w:rPr>
        <w:t>do the current novel food and nutritive substance definitions</w:t>
      </w:r>
      <w:r w:rsidR="002752EB">
        <w:rPr>
          <w:lang w:eastAsia="en-AU" w:bidi="ar-SA"/>
        </w:rPr>
        <w:t xml:space="preserve"> </w:t>
      </w:r>
      <w:r>
        <w:rPr>
          <w:lang w:eastAsia="en-AU" w:bidi="ar-SA"/>
        </w:rPr>
        <w:t>affect your organisation, either as a food business or a food enforcement agency?</w:t>
      </w:r>
    </w:p>
    <w:p w14:paraId="233ADB36" w14:textId="77777777" w:rsidR="00E03EBC" w:rsidRDefault="00E03EBC"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p>
    <w:p w14:paraId="23F87B83" w14:textId="77777777" w:rsidR="00486037" w:rsidRDefault="00486037"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Pr>
          <w:lang w:eastAsia="en-AU" w:bidi="ar-SA"/>
        </w:rPr>
        <w:t xml:space="preserve">Do you believe there are problems with the current definitions in addition to those outlined in the </w:t>
      </w:r>
      <w:r w:rsidR="007B63D1">
        <w:rPr>
          <w:lang w:eastAsia="en-AU" w:bidi="ar-SA"/>
        </w:rPr>
        <w:t>assessment summary</w:t>
      </w:r>
      <w:r>
        <w:rPr>
          <w:lang w:eastAsia="en-AU" w:bidi="ar-SA"/>
        </w:rPr>
        <w:t>? If so, describe the problems.</w:t>
      </w:r>
    </w:p>
    <w:p w14:paraId="0EA722B7" w14:textId="77777777" w:rsidR="00E03EBC" w:rsidRDefault="00E03EBC"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p>
    <w:p w14:paraId="3CEB7CF4" w14:textId="77777777" w:rsidR="00486037" w:rsidRDefault="00486037"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Pr>
          <w:lang w:eastAsia="en-AU" w:bidi="ar-SA"/>
        </w:rPr>
        <w:t xml:space="preserve">Do you believe there are problems with the current provisions more broadly (not just the definitions) in addition to those outlined in </w:t>
      </w:r>
      <w:r w:rsidR="002752EB">
        <w:rPr>
          <w:lang w:eastAsia="en-AU" w:bidi="ar-SA"/>
        </w:rPr>
        <w:t>assessment summary</w:t>
      </w:r>
      <w:r>
        <w:rPr>
          <w:lang w:eastAsia="en-AU" w:bidi="ar-SA"/>
        </w:rPr>
        <w:t>? If so, describe the problems.</w:t>
      </w:r>
    </w:p>
    <w:p w14:paraId="31257881" w14:textId="77777777" w:rsidR="00442E14" w:rsidRPr="002752EB" w:rsidRDefault="007D3479" w:rsidP="00DE78B6">
      <w:pPr>
        <w:rPr>
          <w:rFonts w:eastAsia="Calibri"/>
        </w:rPr>
      </w:pPr>
      <w:r>
        <w:rPr>
          <w:rFonts w:eastAsia="Calibri"/>
        </w:rPr>
        <w:t xml:space="preserve"> </w:t>
      </w:r>
    </w:p>
    <w:p w14:paraId="058CBADE" w14:textId="098D34E6" w:rsidR="00DE78B6" w:rsidRDefault="00335079" w:rsidP="00051849">
      <w:pPr>
        <w:pStyle w:val="Heading1"/>
      </w:pPr>
      <w:bookmarkStart w:id="25" w:name="_Toc436754817"/>
      <w:r>
        <w:t>4</w:t>
      </w:r>
      <w:r w:rsidR="00DE78B6">
        <w:tab/>
        <w:t>Risk Management</w:t>
      </w:r>
      <w:bookmarkEnd w:id="25"/>
    </w:p>
    <w:p w14:paraId="02E98D80" w14:textId="6368E18A" w:rsidR="00026635" w:rsidRPr="009A6A34" w:rsidRDefault="00335079" w:rsidP="009A6A34">
      <w:pPr>
        <w:pStyle w:val="Heading2"/>
      </w:pPr>
      <w:bookmarkStart w:id="26" w:name="_Toc436754818"/>
      <w:r>
        <w:t>4</w:t>
      </w:r>
      <w:r w:rsidR="00E15688">
        <w:t>.</w:t>
      </w:r>
      <w:r w:rsidR="00B76EB2">
        <w:t>1</w:t>
      </w:r>
      <w:r w:rsidR="00E15688">
        <w:tab/>
        <w:t xml:space="preserve">Risk management </w:t>
      </w:r>
      <w:r w:rsidR="0034019F">
        <w:t>considerations</w:t>
      </w:r>
      <w:bookmarkEnd w:id="26"/>
    </w:p>
    <w:p w14:paraId="54E6197A" w14:textId="122F5FCD" w:rsidR="00F63454" w:rsidRDefault="00F63454" w:rsidP="00DE78B6">
      <w:pPr>
        <w:rPr>
          <w:lang w:bidi="ar-SA"/>
        </w:rPr>
      </w:pPr>
      <w:r>
        <w:rPr>
          <w:lang w:bidi="ar-SA"/>
        </w:rPr>
        <w:t xml:space="preserve">This section identifies </w:t>
      </w:r>
      <w:r w:rsidR="001E293D">
        <w:rPr>
          <w:lang w:bidi="ar-SA"/>
        </w:rPr>
        <w:t xml:space="preserve">the risk management considerations taken into account in developing options to </w:t>
      </w:r>
      <w:r w:rsidR="0001110C">
        <w:rPr>
          <w:lang w:bidi="ar-SA"/>
        </w:rPr>
        <w:t xml:space="preserve">improve </w:t>
      </w:r>
      <w:r>
        <w:rPr>
          <w:lang w:bidi="ar-SA"/>
        </w:rPr>
        <w:t>the</w:t>
      </w:r>
      <w:r w:rsidR="008A22EE">
        <w:rPr>
          <w:lang w:bidi="ar-SA"/>
        </w:rPr>
        <w:t xml:space="preserve"> </w:t>
      </w:r>
      <w:r w:rsidR="0001110C">
        <w:rPr>
          <w:lang w:bidi="ar-SA"/>
        </w:rPr>
        <w:t xml:space="preserve">management of </w:t>
      </w:r>
      <w:r w:rsidR="008A22EE">
        <w:rPr>
          <w:lang w:bidi="ar-SA"/>
        </w:rPr>
        <w:t>risks</w:t>
      </w:r>
      <w:r w:rsidR="0001110C">
        <w:rPr>
          <w:lang w:bidi="ar-SA"/>
        </w:rPr>
        <w:t xml:space="preserve"> of </w:t>
      </w:r>
      <w:r w:rsidR="00486D4D">
        <w:rPr>
          <w:lang w:bidi="ar-SA"/>
        </w:rPr>
        <w:t>unapproved</w:t>
      </w:r>
      <w:r w:rsidR="0001110C">
        <w:rPr>
          <w:lang w:bidi="ar-SA"/>
        </w:rPr>
        <w:t xml:space="preserve"> foods entering the food supply due to the deficiencies noted in the current regulatory approach</w:t>
      </w:r>
      <w:r w:rsidR="0046485E">
        <w:rPr>
          <w:lang w:bidi="ar-SA"/>
        </w:rPr>
        <w:t xml:space="preserve">. </w:t>
      </w:r>
      <w:r w:rsidR="00874E9D">
        <w:rPr>
          <w:lang w:bidi="ar-SA"/>
        </w:rPr>
        <w:t>The purpose of pre-market assessment approaches is to determine the safety and required mitigation measures prior to food entering the food supply. This is a fundamental principle in the Australia New Zealand food regulatory framework and ensures that the potential risks posed by certain foods (such as those without a history of safe consumption) are adequately addressed before these foods are sold to consumers</w:t>
      </w:r>
      <w:r w:rsidR="00335079">
        <w:rPr>
          <w:lang w:bidi="ar-SA"/>
        </w:rPr>
        <w:t>. Section 1</w:t>
      </w:r>
      <w:r w:rsidR="00874E9D">
        <w:rPr>
          <w:lang w:bidi="ar-SA"/>
        </w:rPr>
        <w:t>.3 (and SD2 and SD3) identifies the potential risks posed by new foods.</w:t>
      </w:r>
      <w:r w:rsidR="00EB7C7A">
        <w:rPr>
          <w:lang w:bidi="ar-SA"/>
        </w:rPr>
        <w:t xml:space="preserve"> The evidence from the consideration of new foods by the ACNF, from incidents relating to unsafe foods in Australia and New Zealand and the safety concerns that have been raised during assessments of applications by FSANZ and other regulators, indicate that novel foods can pose safety concerns which need managing. As noted above, reliance on the Food Acts or the existing standard to manage these risks is an inadequate risk management measure.</w:t>
      </w:r>
    </w:p>
    <w:p w14:paraId="1A6C3D15" w14:textId="77777777" w:rsidR="00E50715" w:rsidRDefault="00E50715" w:rsidP="00DE78B6">
      <w:pPr>
        <w:rPr>
          <w:lang w:bidi="ar-SA"/>
        </w:rPr>
      </w:pPr>
    </w:p>
    <w:p w14:paraId="45701E5A" w14:textId="33C22D80" w:rsidR="00A74195" w:rsidRDefault="00F45A05" w:rsidP="00A74195">
      <w:r>
        <w:rPr>
          <w:lang w:bidi="ar-SA"/>
        </w:rPr>
        <w:lastRenderedPageBreak/>
        <w:t>FSANZ’s primary objective in standards development is the protection of public health and safety</w:t>
      </w:r>
      <w:r w:rsidR="00DA5DE1">
        <w:rPr>
          <w:lang w:bidi="ar-SA"/>
        </w:rPr>
        <w:t xml:space="preserve"> and t</w:t>
      </w:r>
      <w:r>
        <w:rPr>
          <w:lang w:bidi="ar-SA"/>
        </w:rPr>
        <w:t xml:space="preserve">his is the primary consideration FSANZ has taken into account in developing </w:t>
      </w:r>
      <w:r w:rsidR="00A74195">
        <w:rPr>
          <w:lang w:bidi="ar-SA"/>
        </w:rPr>
        <w:t xml:space="preserve">and assessing </w:t>
      </w:r>
      <w:r>
        <w:rPr>
          <w:lang w:bidi="ar-SA"/>
        </w:rPr>
        <w:t xml:space="preserve">options. FSANZ has taken other secondary considerations into account, noting that options should be </w:t>
      </w:r>
      <w:r>
        <w:t xml:space="preserve">proportionate to the </w:t>
      </w:r>
      <w:r w:rsidR="00AE6131">
        <w:t xml:space="preserve">varying levels of </w:t>
      </w:r>
      <w:r>
        <w:t>risk of</w:t>
      </w:r>
      <w:r w:rsidR="00AE6131">
        <w:t xml:space="preserve"> new foods entering the market; should </w:t>
      </w:r>
      <w:r>
        <w:t xml:space="preserve">be objective, clearly understood and enforceable; </w:t>
      </w:r>
      <w:r w:rsidR="00A74195">
        <w:t xml:space="preserve">and </w:t>
      </w:r>
      <w:r w:rsidR="00AE6131">
        <w:t>should provide industry with the opportunity to access the market quickly and without undue regulatory burden</w:t>
      </w:r>
      <w:r w:rsidR="00A74195">
        <w:t xml:space="preserve">. </w:t>
      </w:r>
      <w:r w:rsidR="003D6E98">
        <w:t>Compatibility with international approaches to the regulation of novel foods is also a consideration in formulating an amended approach.</w:t>
      </w:r>
    </w:p>
    <w:p w14:paraId="794946B9" w14:textId="77777777" w:rsidR="00A74195" w:rsidRDefault="00A74195" w:rsidP="00A74195"/>
    <w:p w14:paraId="7878D84A" w14:textId="62856403" w:rsidR="00114035" w:rsidRDefault="00A74195" w:rsidP="00A74195">
      <w:r>
        <w:t xml:space="preserve">FSANZ considered the </w:t>
      </w:r>
      <w:r w:rsidR="00D06242">
        <w:t>option</w:t>
      </w:r>
      <w:r>
        <w:t xml:space="preserve"> of relying on </w:t>
      </w:r>
      <w:r w:rsidR="00114035">
        <w:t xml:space="preserve">the Food Acts and </w:t>
      </w:r>
      <w:r>
        <w:t>a post</w:t>
      </w:r>
      <w:r w:rsidR="00335079">
        <w:t>-</w:t>
      </w:r>
      <w:r>
        <w:t>market approach only (in the absence of Code requirements)</w:t>
      </w:r>
      <w:r w:rsidR="002A279A">
        <w:t xml:space="preserve">, but rejected this for </w:t>
      </w:r>
      <w:r w:rsidR="00A81D31">
        <w:t>the reasons outlined in section </w:t>
      </w:r>
      <w:r w:rsidR="00335079">
        <w:t>4</w:t>
      </w:r>
      <w:r w:rsidR="002A279A">
        <w:t xml:space="preserve">.1.1. </w:t>
      </w:r>
    </w:p>
    <w:p w14:paraId="798BF3A7" w14:textId="77777777" w:rsidR="00114035" w:rsidRDefault="00114035" w:rsidP="00A74195"/>
    <w:p w14:paraId="0B2B13DB" w14:textId="49376BBB" w:rsidR="00AE6131" w:rsidRDefault="002A279A" w:rsidP="00A74195">
      <w:r>
        <w:t>Consideration of</w:t>
      </w:r>
      <w:r w:rsidR="00A74195">
        <w:t xml:space="preserve"> how regard can be given to policy guidance provided to FSANZ by Ministers</w:t>
      </w:r>
      <w:r>
        <w:t xml:space="preserve"> is introduced </w:t>
      </w:r>
      <w:r w:rsidR="00A74195">
        <w:t xml:space="preserve">in section </w:t>
      </w:r>
      <w:r w:rsidR="00335079">
        <w:t>4</w:t>
      </w:r>
      <w:r w:rsidR="00A74195">
        <w:t xml:space="preserve">.1.2. </w:t>
      </w:r>
    </w:p>
    <w:p w14:paraId="0EA57A93" w14:textId="5BB1270D" w:rsidR="00A74195" w:rsidRDefault="00335079" w:rsidP="000D0DA9">
      <w:pPr>
        <w:pStyle w:val="Heading3"/>
      </w:pPr>
      <w:bookmarkStart w:id="27" w:name="_Toc436754819"/>
      <w:r>
        <w:t>4</w:t>
      </w:r>
      <w:r w:rsidR="00A74195">
        <w:t>.1.1</w:t>
      </w:r>
      <w:r w:rsidR="00A74195">
        <w:tab/>
        <w:t>Post</w:t>
      </w:r>
      <w:r>
        <w:t>-</w:t>
      </w:r>
      <w:r w:rsidR="00A74195">
        <w:t>market versus pre-market</w:t>
      </w:r>
      <w:r w:rsidR="00A74195" w:rsidRPr="008B2D20">
        <w:t xml:space="preserve"> </w:t>
      </w:r>
      <w:r w:rsidR="00A74195">
        <w:t>approach</w:t>
      </w:r>
      <w:bookmarkEnd w:id="27"/>
    </w:p>
    <w:p w14:paraId="7D5C0DD9" w14:textId="5303ED65" w:rsidR="00A74195" w:rsidRDefault="00A74195" w:rsidP="00185DEE">
      <w:pPr>
        <w:rPr>
          <w:lang w:bidi="ar-SA"/>
        </w:rPr>
      </w:pPr>
      <w:r>
        <w:rPr>
          <w:lang w:bidi="ar-SA"/>
        </w:rPr>
        <w:t xml:space="preserve">If the nutritive substance and novel food provisions were not included in the Code the foods and substances intended to be covered by these provisions would no longer be subject to pre-market assessment requirements in the Code. These foods would be subject to the general safe and suitable provisions of Food Acts and there would be a heavy reliance on post market measures to determine compliance with these provisions. Section </w:t>
      </w:r>
      <w:r w:rsidR="00335079">
        <w:rPr>
          <w:lang w:bidi="ar-SA"/>
        </w:rPr>
        <w:t>3</w:t>
      </w:r>
      <w:r>
        <w:rPr>
          <w:lang w:bidi="ar-SA"/>
        </w:rPr>
        <w:t>.1 has identified the difficulties faced by food enforcement agencies in relying on the safe and suitable provisions of Food Acts to take enforcement action.</w:t>
      </w:r>
      <w:r w:rsidR="00A41AC5">
        <w:rPr>
          <w:lang w:bidi="ar-SA"/>
        </w:rPr>
        <w:t xml:space="preserve"> Section </w:t>
      </w:r>
      <w:r w:rsidR="00335079">
        <w:rPr>
          <w:lang w:bidi="ar-SA"/>
        </w:rPr>
        <w:t>1</w:t>
      </w:r>
      <w:r w:rsidR="00A41AC5">
        <w:rPr>
          <w:lang w:bidi="ar-SA"/>
        </w:rPr>
        <w:t xml:space="preserve"> has identified the important role the Code plays in supporting the Food Acts by providing criteria for what constitutes an unsafe food. </w:t>
      </w:r>
    </w:p>
    <w:p w14:paraId="4F8C43BA" w14:textId="21B5F9DB" w:rsidR="00A74195" w:rsidRDefault="00A74195">
      <w:pPr>
        <w:rPr>
          <w:lang w:bidi="ar-SA"/>
        </w:rPr>
      </w:pPr>
    </w:p>
    <w:p w14:paraId="6ABAB313" w14:textId="40A4DB01" w:rsidR="00A74195" w:rsidRPr="00114035" w:rsidRDefault="00A74195">
      <w:pPr>
        <w:rPr>
          <w:lang w:bidi="ar-SA"/>
        </w:rPr>
      </w:pPr>
      <w:r>
        <w:rPr>
          <w:lang w:bidi="ar-SA"/>
        </w:rPr>
        <w:t xml:space="preserve">The identification of adverse effects is not likely to be straightforward in a post market environment. Serious acute adverse effects may be identified if they are reported to appropriate authorities. </w:t>
      </w:r>
      <w:r w:rsidR="00516215">
        <w:rPr>
          <w:lang w:bidi="ar-SA"/>
        </w:rPr>
        <w:t>However, t</w:t>
      </w:r>
      <w:r>
        <w:rPr>
          <w:lang w:bidi="ar-SA"/>
        </w:rPr>
        <w:t xml:space="preserve">he identification of chronic adverse effects is difficult in a post market environment. </w:t>
      </w:r>
      <w:r w:rsidR="00516215">
        <w:rPr>
          <w:rFonts w:cstheme="minorBidi"/>
          <w:szCs w:val="22"/>
        </w:rPr>
        <w:t>I</w:t>
      </w:r>
      <w:r>
        <w:rPr>
          <w:rFonts w:cstheme="minorBidi"/>
          <w:szCs w:val="22"/>
        </w:rPr>
        <w:t>t is unlikely that chronic adverse effects will be reported to food authorities, as the cause of the chronic effect may not be identified</w:t>
      </w:r>
      <w:r w:rsidR="00516215">
        <w:rPr>
          <w:rFonts w:cstheme="minorBidi"/>
          <w:szCs w:val="22"/>
        </w:rPr>
        <w:t>.</w:t>
      </w:r>
      <w:r>
        <w:rPr>
          <w:rFonts w:cstheme="minorBidi"/>
          <w:szCs w:val="22"/>
        </w:rPr>
        <w:t xml:space="preserve"> </w:t>
      </w:r>
      <w:r w:rsidR="00516215">
        <w:rPr>
          <w:rFonts w:cstheme="minorBidi"/>
          <w:szCs w:val="22"/>
        </w:rPr>
        <w:t xml:space="preserve">This </w:t>
      </w:r>
      <w:r>
        <w:rPr>
          <w:rFonts w:cstheme="minorBidi"/>
          <w:szCs w:val="22"/>
        </w:rPr>
        <w:t xml:space="preserve">highlights the limitations of relying on post-market </w:t>
      </w:r>
      <w:r w:rsidR="00114035">
        <w:rPr>
          <w:rFonts w:cstheme="minorBidi"/>
          <w:szCs w:val="22"/>
        </w:rPr>
        <w:t>measures</w:t>
      </w:r>
      <w:r>
        <w:rPr>
          <w:rFonts w:cstheme="minorBidi"/>
          <w:szCs w:val="22"/>
        </w:rPr>
        <w:t xml:space="preserve"> without the support of clear and enforceable pre-market requirements.</w:t>
      </w:r>
      <w:r w:rsidR="00A41AC5">
        <w:rPr>
          <w:rFonts w:cstheme="minorBidi"/>
          <w:szCs w:val="22"/>
        </w:rPr>
        <w:t xml:space="preserve"> </w:t>
      </w:r>
      <w:r w:rsidR="00516215">
        <w:rPr>
          <w:rFonts w:cstheme="minorBidi"/>
          <w:szCs w:val="22"/>
        </w:rPr>
        <w:t>T</w:t>
      </w:r>
      <w:r w:rsidR="00566AD1">
        <w:rPr>
          <w:rFonts w:cstheme="minorBidi"/>
          <w:szCs w:val="22"/>
        </w:rPr>
        <w:t xml:space="preserve">he potential for foods to </w:t>
      </w:r>
      <w:r w:rsidR="00516215">
        <w:rPr>
          <w:rFonts w:cstheme="minorBidi"/>
          <w:szCs w:val="22"/>
        </w:rPr>
        <w:t xml:space="preserve">cause </w:t>
      </w:r>
      <w:r w:rsidR="00566AD1">
        <w:rPr>
          <w:rFonts w:cstheme="minorBidi"/>
          <w:szCs w:val="22"/>
        </w:rPr>
        <w:t xml:space="preserve">chronic toxicity can be identified and incorporated into pre-market assessment requirements. </w:t>
      </w:r>
    </w:p>
    <w:p w14:paraId="1774D34B" w14:textId="77777777" w:rsidR="00566AD1" w:rsidRDefault="00566AD1" w:rsidP="00A74195">
      <w:pPr>
        <w:rPr>
          <w:rFonts w:cstheme="minorBidi"/>
          <w:szCs w:val="22"/>
        </w:rPr>
      </w:pPr>
    </w:p>
    <w:p w14:paraId="1C28B5C6" w14:textId="51C20D53" w:rsidR="00A74195" w:rsidRPr="002C285B" w:rsidRDefault="002059FF" w:rsidP="00A74195">
      <w:pPr>
        <w:rPr>
          <w:rFonts w:cstheme="minorBidi"/>
          <w:szCs w:val="22"/>
        </w:rPr>
      </w:pPr>
      <w:r>
        <w:rPr>
          <w:rFonts w:cstheme="minorBidi"/>
          <w:szCs w:val="22"/>
        </w:rPr>
        <w:t>Therefore</w:t>
      </w:r>
      <w:r w:rsidR="00566AD1">
        <w:rPr>
          <w:rFonts w:cstheme="minorBidi"/>
          <w:szCs w:val="22"/>
        </w:rPr>
        <w:t xml:space="preserve"> FSANZ considers a pre-market </w:t>
      </w:r>
      <w:r w:rsidR="006F1173">
        <w:rPr>
          <w:rFonts w:cstheme="minorBidi"/>
          <w:szCs w:val="22"/>
        </w:rPr>
        <w:t xml:space="preserve">assessment </w:t>
      </w:r>
      <w:r w:rsidR="00566AD1">
        <w:rPr>
          <w:rFonts w:cstheme="minorBidi"/>
          <w:szCs w:val="22"/>
        </w:rPr>
        <w:t xml:space="preserve">approach to the regulation of nutritive substances and novel foods remains valid. </w:t>
      </w:r>
      <w:r w:rsidR="003D6E98">
        <w:rPr>
          <w:rFonts w:cstheme="minorBidi"/>
          <w:szCs w:val="22"/>
        </w:rPr>
        <w:t>The approach</w:t>
      </w:r>
      <w:r w:rsidR="00566AD1">
        <w:rPr>
          <w:rFonts w:cstheme="minorBidi"/>
          <w:szCs w:val="22"/>
        </w:rPr>
        <w:t xml:space="preserve"> FSANZ has developed </w:t>
      </w:r>
      <w:r>
        <w:rPr>
          <w:rFonts w:cstheme="minorBidi"/>
          <w:szCs w:val="22"/>
        </w:rPr>
        <w:t>is</w:t>
      </w:r>
      <w:r w:rsidR="00566AD1">
        <w:rPr>
          <w:rFonts w:cstheme="minorBidi"/>
          <w:szCs w:val="22"/>
        </w:rPr>
        <w:t xml:space="preserve"> focussed on a pre-market approach. </w:t>
      </w:r>
    </w:p>
    <w:p w14:paraId="7183A016" w14:textId="31066677" w:rsidR="002059FF" w:rsidRPr="00BF53F9" w:rsidRDefault="00335079" w:rsidP="000D0DA9">
      <w:pPr>
        <w:pStyle w:val="Heading3"/>
      </w:pPr>
      <w:bookmarkStart w:id="28" w:name="_Toc436754820"/>
      <w:r>
        <w:t>4</w:t>
      </w:r>
      <w:r w:rsidR="002059FF" w:rsidRPr="00BF53F9">
        <w:t>.</w:t>
      </w:r>
      <w:r w:rsidR="002059FF">
        <w:t>1</w:t>
      </w:r>
      <w:r w:rsidR="002059FF" w:rsidRPr="00BF53F9">
        <w:t>.</w:t>
      </w:r>
      <w:r w:rsidR="002059FF">
        <w:t>2</w:t>
      </w:r>
      <w:r w:rsidR="002059FF" w:rsidRPr="00BF53F9">
        <w:tab/>
      </w:r>
      <w:r w:rsidR="002059FF">
        <w:t>International regulation of new foods</w:t>
      </w:r>
      <w:bookmarkEnd w:id="28"/>
    </w:p>
    <w:p w14:paraId="46C3BEE0" w14:textId="4AD961CB" w:rsidR="002059FF" w:rsidRDefault="00A74195" w:rsidP="002059FF">
      <w:pPr>
        <w:rPr>
          <w:rFonts w:eastAsia="Calibri"/>
        </w:rPr>
      </w:pPr>
      <w:r>
        <w:rPr>
          <w:lang w:bidi="ar-SA"/>
        </w:rPr>
        <w:t xml:space="preserve">FSANZ has identified the approaches taken in comparable international jurisdictions to address the safety of new foods. </w:t>
      </w:r>
      <w:r w:rsidR="002059FF">
        <w:rPr>
          <w:lang w:bidi="ar-SA"/>
        </w:rPr>
        <w:t xml:space="preserve">These are described and assessed in SD4. </w:t>
      </w:r>
      <w:r>
        <w:rPr>
          <w:lang w:bidi="ar-SA"/>
        </w:rPr>
        <w:t xml:space="preserve">The European Union, Canada and the United States of America each have regulations that take a pre-market regulatory approach to </w:t>
      </w:r>
      <w:r w:rsidR="002059FF">
        <w:rPr>
          <w:lang w:bidi="ar-SA"/>
        </w:rPr>
        <w:t xml:space="preserve">establishing the safety of </w:t>
      </w:r>
      <w:r>
        <w:rPr>
          <w:lang w:bidi="ar-SA"/>
        </w:rPr>
        <w:t xml:space="preserve">new foods in the food supply. The nature of the pre-market approach differs in each jurisdiction, </w:t>
      </w:r>
      <w:r w:rsidR="002059FF">
        <w:rPr>
          <w:lang w:bidi="ar-SA"/>
        </w:rPr>
        <w:t xml:space="preserve">including the types of foods captured by </w:t>
      </w:r>
      <w:r w:rsidR="004E217B">
        <w:rPr>
          <w:lang w:bidi="ar-SA"/>
        </w:rPr>
        <w:t>the regulations, the reliance on</w:t>
      </w:r>
      <w:r w:rsidR="002059FF">
        <w:rPr>
          <w:lang w:bidi="ar-SA"/>
        </w:rPr>
        <w:t xml:space="preserve"> definitions and the balance between self-assessment and regulatory approval.</w:t>
      </w:r>
      <w:r w:rsidR="00114035">
        <w:rPr>
          <w:lang w:bidi="ar-SA"/>
        </w:rPr>
        <w:t xml:space="preserve"> </w:t>
      </w:r>
      <w:r w:rsidR="002059FF">
        <w:rPr>
          <w:lang w:bidi="ar-SA"/>
        </w:rPr>
        <w:t xml:space="preserve">FSANZ has taken account of these in developing its proposed approach to manage the risk of new foods entering the food supply. In particular, </w:t>
      </w:r>
      <w:r w:rsidR="002059FF">
        <w:rPr>
          <w:rFonts w:eastAsia="Calibri"/>
        </w:rPr>
        <w:t>FSANZ has utilised the following aspects in developing the alternative graduated risk</w:t>
      </w:r>
      <w:r w:rsidR="00335079">
        <w:rPr>
          <w:rFonts w:eastAsia="Calibri"/>
        </w:rPr>
        <w:t xml:space="preserve"> approach presented in section 4</w:t>
      </w:r>
      <w:r w:rsidR="002059FF">
        <w:rPr>
          <w:rFonts w:eastAsia="Calibri"/>
        </w:rPr>
        <w:t>.2.3 of the assessment summary:</w:t>
      </w:r>
    </w:p>
    <w:p w14:paraId="5E7E7D5A" w14:textId="05F64B15" w:rsidR="00335079" w:rsidRDefault="00335079" w:rsidP="002059FF">
      <w:pPr>
        <w:rPr>
          <w:rFonts w:eastAsia="Calibri"/>
        </w:rPr>
      </w:pPr>
      <w:r>
        <w:rPr>
          <w:rFonts w:eastAsia="Calibri"/>
        </w:rPr>
        <w:br w:type="page"/>
      </w:r>
    </w:p>
    <w:p w14:paraId="359BC7B4" w14:textId="1631C9C1" w:rsidR="002059FF" w:rsidRDefault="002059FF" w:rsidP="002059FF">
      <w:pPr>
        <w:pStyle w:val="FSBullet"/>
        <w:rPr>
          <w:rFonts w:eastAsia="Calibri"/>
        </w:rPr>
      </w:pPr>
      <w:r>
        <w:rPr>
          <w:rFonts w:eastAsia="Calibri"/>
        </w:rPr>
        <w:lastRenderedPageBreak/>
        <w:t xml:space="preserve">A cut-off date </w:t>
      </w:r>
      <w:r w:rsidR="00114035">
        <w:rPr>
          <w:rFonts w:eastAsia="Calibri"/>
        </w:rPr>
        <w:t xml:space="preserve">for presence in the market </w:t>
      </w:r>
      <w:r>
        <w:rPr>
          <w:rFonts w:eastAsia="Calibri"/>
        </w:rPr>
        <w:t xml:space="preserve">(EU, USA) can provide an objective parameter to assist in identifying new foods and substances that require pre-market assessment. </w:t>
      </w:r>
    </w:p>
    <w:p w14:paraId="34490E59" w14:textId="77777777" w:rsidR="002059FF" w:rsidRPr="00BE50D4" w:rsidRDefault="002059FF" w:rsidP="002059FF">
      <w:pPr>
        <w:rPr>
          <w:rFonts w:eastAsia="Calibri"/>
        </w:rPr>
      </w:pPr>
    </w:p>
    <w:p w14:paraId="71B82A85" w14:textId="77777777" w:rsidR="002059FF" w:rsidRDefault="002059FF" w:rsidP="002059FF">
      <w:pPr>
        <w:pStyle w:val="FSBullet"/>
        <w:rPr>
          <w:rFonts w:eastAsia="Calibri"/>
        </w:rPr>
      </w:pPr>
      <w:r>
        <w:rPr>
          <w:rFonts w:eastAsia="Calibri"/>
        </w:rPr>
        <w:t xml:space="preserve">Industry self-assessment of safety can provide a more streamlined process for industry in relation to the time it takes to get a new product into the market (US, Canada), although the levels of transparency and regulatory oversight are important considerations to take into account. </w:t>
      </w:r>
    </w:p>
    <w:p w14:paraId="41442761" w14:textId="77777777" w:rsidR="002059FF" w:rsidRPr="00FC690A" w:rsidRDefault="002059FF" w:rsidP="002059FF">
      <w:pPr>
        <w:rPr>
          <w:rFonts w:eastAsia="Calibri"/>
        </w:rPr>
      </w:pPr>
    </w:p>
    <w:p w14:paraId="40114D41" w14:textId="77777777" w:rsidR="00D653BB" w:rsidRDefault="002059FF" w:rsidP="00D653BB">
      <w:pPr>
        <w:pStyle w:val="FSBullet"/>
        <w:rPr>
          <w:rFonts w:eastAsia="Calibri"/>
        </w:rPr>
      </w:pPr>
      <w:r>
        <w:rPr>
          <w:rFonts w:eastAsia="Calibri"/>
        </w:rPr>
        <w:t>A demonstrated history of safe use of a food in other markets can provide a level of confidence in the assessment of safety of n</w:t>
      </w:r>
      <w:r w:rsidR="00D653BB">
        <w:rPr>
          <w:rFonts w:eastAsia="Calibri"/>
        </w:rPr>
        <w:t>ew or novel foods (EU, Canada).</w:t>
      </w:r>
    </w:p>
    <w:p w14:paraId="509381B0" w14:textId="77777777" w:rsidR="00D653BB" w:rsidRDefault="00D653BB" w:rsidP="00D653BB">
      <w:pPr>
        <w:pStyle w:val="FSBullet"/>
        <w:numPr>
          <w:ilvl w:val="0"/>
          <w:numId w:val="0"/>
        </w:numPr>
        <w:ind w:left="567"/>
        <w:rPr>
          <w:rFonts w:eastAsia="Calibri"/>
        </w:rPr>
      </w:pPr>
    </w:p>
    <w:p w14:paraId="46BEB01D" w14:textId="72CD7F24" w:rsidR="004719E7" w:rsidRPr="00D653BB" w:rsidRDefault="004719E7" w:rsidP="00D653BB">
      <w:pPr>
        <w:pStyle w:val="FSBullet"/>
        <w:rPr>
          <w:rFonts w:eastAsia="Calibri"/>
        </w:rPr>
      </w:pPr>
      <w:r w:rsidRPr="00D653BB">
        <w:rPr>
          <w:rFonts w:eastAsia="Calibri"/>
        </w:rPr>
        <w:t>Combining nutritive substances and novel foods, as in Canada, may address some of the difficulties associated with distinguishing these types of substances.</w:t>
      </w:r>
    </w:p>
    <w:p w14:paraId="04C77810" w14:textId="4D7F37CE" w:rsidR="0093668D" w:rsidRPr="00BF53F9" w:rsidRDefault="00335079" w:rsidP="000D0DA9">
      <w:pPr>
        <w:pStyle w:val="Heading3"/>
      </w:pPr>
      <w:bookmarkStart w:id="29" w:name="_Toc436754821"/>
      <w:r>
        <w:t>4</w:t>
      </w:r>
      <w:r w:rsidR="0093668D" w:rsidRPr="00BF53F9">
        <w:t>.</w:t>
      </w:r>
      <w:r w:rsidR="0093668D">
        <w:t>1</w:t>
      </w:r>
      <w:r w:rsidR="0093668D" w:rsidRPr="00BF53F9">
        <w:t>.</w:t>
      </w:r>
      <w:r w:rsidR="0093668D">
        <w:t>3</w:t>
      </w:r>
      <w:r w:rsidR="0093668D" w:rsidRPr="00BF53F9">
        <w:tab/>
      </w:r>
      <w:r w:rsidR="0093668D">
        <w:t>Self-assessment and pre-approval pathways</w:t>
      </w:r>
      <w:bookmarkEnd w:id="29"/>
    </w:p>
    <w:p w14:paraId="13A63E8F" w14:textId="6D9DD135" w:rsidR="0093668D" w:rsidRDefault="0093668D" w:rsidP="00F45A05">
      <w:pPr>
        <w:rPr>
          <w:lang w:bidi="ar-SA"/>
        </w:rPr>
      </w:pPr>
      <w:r>
        <w:rPr>
          <w:lang w:bidi="ar-SA"/>
        </w:rPr>
        <w:t xml:space="preserve">FSANZ considers that there </w:t>
      </w:r>
      <w:r w:rsidR="0073459C">
        <w:rPr>
          <w:lang w:bidi="ar-SA"/>
        </w:rPr>
        <w:t>are graduated levels of</w:t>
      </w:r>
      <w:r>
        <w:rPr>
          <w:lang w:bidi="ar-SA"/>
        </w:rPr>
        <w:t xml:space="preserve"> risk arising from new foods entering the market. This has been addressed in SD3. A graduated risk management approach may therefore be appropriate to man</w:t>
      </w:r>
      <w:r w:rsidR="00874E9D">
        <w:rPr>
          <w:lang w:bidi="ar-SA"/>
        </w:rPr>
        <w:t>a</w:t>
      </w:r>
      <w:r>
        <w:rPr>
          <w:lang w:bidi="ar-SA"/>
        </w:rPr>
        <w:t xml:space="preserve">ge those risks. </w:t>
      </w:r>
      <w:r w:rsidR="00874E9D">
        <w:rPr>
          <w:lang w:bidi="ar-SA"/>
        </w:rPr>
        <w:t xml:space="preserve">A proportionate approach could include options for </w:t>
      </w:r>
      <w:r w:rsidR="0073459C">
        <w:rPr>
          <w:lang w:bidi="ar-SA"/>
        </w:rPr>
        <w:t xml:space="preserve">a graduated approach to pre-market assessment requirements, including </w:t>
      </w:r>
      <w:r w:rsidR="00874E9D">
        <w:rPr>
          <w:lang w:bidi="ar-SA"/>
        </w:rPr>
        <w:t xml:space="preserve">self-assessment </w:t>
      </w:r>
      <w:r w:rsidR="00F5415B">
        <w:rPr>
          <w:lang w:bidi="ar-SA"/>
        </w:rPr>
        <w:t xml:space="preserve">by industry, through to </w:t>
      </w:r>
      <w:r w:rsidR="00874E9D">
        <w:rPr>
          <w:lang w:bidi="ar-SA"/>
        </w:rPr>
        <w:t xml:space="preserve">a full pre-approval process involving independent risk analysis by FSANZ, dependent on risk.  </w:t>
      </w:r>
    </w:p>
    <w:p w14:paraId="785A45A4" w14:textId="184D9432" w:rsidR="00F20B45" w:rsidRPr="00BF53F9" w:rsidRDefault="00335079" w:rsidP="000D0DA9">
      <w:pPr>
        <w:pStyle w:val="Heading3"/>
      </w:pPr>
      <w:bookmarkStart w:id="30" w:name="_Toc436754822"/>
      <w:r>
        <w:t>4</w:t>
      </w:r>
      <w:r w:rsidR="00F20B45" w:rsidRPr="00BF53F9">
        <w:t>.</w:t>
      </w:r>
      <w:r w:rsidR="00E03EBC">
        <w:t>1</w:t>
      </w:r>
      <w:r w:rsidR="00F20B45" w:rsidRPr="00BF53F9">
        <w:t>.</w:t>
      </w:r>
      <w:r w:rsidR="00874E9D">
        <w:t>4</w:t>
      </w:r>
      <w:r w:rsidR="00F20B45" w:rsidRPr="00BF53F9">
        <w:tab/>
        <w:t>Ministerial policy guidance</w:t>
      </w:r>
      <w:bookmarkEnd w:id="30"/>
    </w:p>
    <w:p w14:paraId="3A2E9100" w14:textId="77777777" w:rsidR="00F20B45" w:rsidRDefault="00F45A05" w:rsidP="00F20B45">
      <w:r>
        <w:t xml:space="preserve">The FSANZ Act requires FSANZ to have regard to ministerial policy guidelines (subsection 18(2)) when developing or reviewing food standards. </w:t>
      </w:r>
      <w:r w:rsidR="00F20B45" w:rsidRPr="00BF53F9">
        <w:t xml:space="preserve">The Ministerial Policy Guideline on the </w:t>
      </w:r>
      <w:r w:rsidR="00F20B45" w:rsidRPr="00BF53F9">
        <w:rPr>
          <w:i/>
          <w:iCs/>
        </w:rPr>
        <w:t>Addition of Substances other than Vitamins and Minerals</w:t>
      </w:r>
      <w:r w:rsidR="00946D74">
        <w:rPr>
          <w:rStyle w:val="FootnoteReference"/>
          <w:i/>
          <w:iCs/>
        </w:rPr>
        <w:footnoteReference w:id="7"/>
      </w:r>
      <w:r w:rsidR="00F20B45" w:rsidRPr="00BF53F9">
        <w:rPr>
          <w:i/>
          <w:iCs/>
        </w:rPr>
        <w:t xml:space="preserve"> </w:t>
      </w:r>
      <w:r w:rsidR="00F20B45" w:rsidRPr="00BF53F9">
        <w:t xml:space="preserve">(the Policy Guideline) is relevant to this Proposal because it provides guidance on the intentional addition to food of substances (other than vitamins and minerals) that are not intended to be consumed as foods in their own right. Substances in the policy context could be as broad as foods that are always used as ingredients or as crude or refined extracts or as highly refined extracts that are sufficiently pure to be chemically specified. Only the latter category is regarded as 'substances' in the context of this Proposal. </w:t>
      </w:r>
    </w:p>
    <w:p w14:paraId="277D808C" w14:textId="77777777" w:rsidR="00F45A05" w:rsidRDefault="00F45A05" w:rsidP="00F20B45"/>
    <w:p w14:paraId="14B942A5" w14:textId="77777777" w:rsidR="00814CC6" w:rsidRDefault="00334E08" w:rsidP="00F20B45">
      <w:r>
        <w:t>T</w:t>
      </w:r>
      <w:r w:rsidR="00814CC6">
        <w:t>he Policy Guideline states:</w:t>
      </w:r>
    </w:p>
    <w:p w14:paraId="223E67DE" w14:textId="77777777" w:rsidR="00814CC6" w:rsidRDefault="00814CC6" w:rsidP="00F20B45"/>
    <w:p w14:paraId="4F2384C4" w14:textId="77777777" w:rsidR="00814CC6" w:rsidRDefault="00814CC6" w:rsidP="00814CC6">
      <w:pPr>
        <w:rPr>
          <w:i/>
          <w:iCs/>
        </w:rPr>
      </w:pPr>
      <w:r w:rsidRPr="00BF53F9">
        <w:rPr>
          <w:i/>
          <w:iCs/>
        </w:rPr>
        <w:t>The addition of substances other than vitamins and minerals to food where the purpose of the addition is for other than to achieve a solely technological function should be permitted where:</w:t>
      </w:r>
    </w:p>
    <w:p w14:paraId="20A93A3B" w14:textId="77777777" w:rsidR="00BC4DF9" w:rsidRPr="00BF53F9" w:rsidRDefault="00BC4DF9" w:rsidP="00814CC6">
      <w:pPr>
        <w:rPr>
          <w:i/>
          <w:iCs/>
        </w:rPr>
      </w:pPr>
    </w:p>
    <w:p w14:paraId="172BB9E9" w14:textId="77777777" w:rsidR="00814CC6" w:rsidRPr="00BF53F9" w:rsidRDefault="00814CC6" w:rsidP="00814CC6">
      <w:pPr>
        <w:ind w:left="1134" w:hanging="567"/>
        <w:rPr>
          <w:i/>
          <w:iCs/>
        </w:rPr>
      </w:pPr>
      <w:r w:rsidRPr="00BF53F9">
        <w:rPr>
          <w:i/>
          <w:iCs/>
        </w:rPr>
        <w:t>a)</w:t>
      </w:r>
      <w:r w:rsidRPr="00BF53F9">
        <w:rPr>
          <w:i/>
          <w:iCs/>
        </w:rPr>
        <w:tab/>
      </w:r>
      <w:proofErr w:type="gramStart"/>
      <w:r w:rsidRPr="00BF53F9">
        <w:rPr>
          <w:i/>
          <w:iCs/>
        </w:rPr>
        <w:t>the</w:t>
      </w:r>
      <w:proofErr w:type="gramEnd"/>
      <w:r w:rsidRPr="00BF53F9">
        <w:rPr>
          <w:i/>
          <w:iCs/>
        </w:rPr>
        <w:t xml:space="preserve"> purpose of adding the substance can be articulated clearly by the manufacturer (i.e. the ‘stated purpose’); and</w:t>
      </w:r>
    </w:p>
    <w:p w14:paraId="0387D645" w14:textId="77777777" w:rsidR="00814CC6" w:rsidRPr="00BF53F9" w:rsidRDefault="00814CC6" w:rsidP="00814CC6">
      <w:pPr>
        <w:ind w:firstLine="567"/>
      </w:pPr>
      <w:r w:rsidRPr="00BF53F9">
        <w:rPr>
          <w:i/>
          <w:iCs/>
        </w:rPr>
        <w:t>b)</w:t>
      </w:r>
      <w:r w:rsidRPr="00BF53F9">
        <w:tab/>
      </w:r>
      <w:proofErr w:type="gramStart"/>
      <w:r w:rsidRPr="00BF53F9">
        <w:rPr>
          <w:i/>
          <w:iCs/>
        </w:rPr>
        <w:t>the</w:t>
      </w:r>
      <w:proofErr w:type="gramEnd"/>
      <w:r w:rsidRPr="00BF53F9">
        <w:rPr>
          <w:i/>
          <w:iCs/>
        </w:rPr>
        <w:t xml:space="preserve"> addition of the substance to food is safe for human consumption; and</w:t>
      </w:r>
    </w:p>
    <w:p w14:paraId="0D33D881" w14:textId="77777777" w:rsidR="00814CC6" w:rsidRPr="00BF53F9" w:rsidRDefault="00814CC6" w:rsidP="00814CC6">
      <w:pPr>
        <w:ind w:left="1134" w:hanging="567"/>
      </w:pPr>
      <w:r w:rsidRPr="00BF53F9">
        <w:rPr>
          <w:i/>
          <w:iCs/>
        </w:rPr>
        <w:t>c)</w:t>
      </w:r>
      <w:r w:rsidRPr="00BF53F9">
        <w:tab/>
      </w:r>
      <w:proofErr w:type="gramStart"/>
      <w:r w:rsidRPr="00BF53F9">
        <w:rPr>
          <w:i/>
          <w:iCs/>
        </w:rPr>
        <w:t>the</w:t>
      </w:r>
      <w:proofErr w:type="gramEnd"/>
      <w:r w:rsidRPr="00BF53F9">
        <w:rPr>
          <w:i/>
          <w:iCs/>
        </w:rPr>
        <w:t xml:space="preserve"> substance is added in a quantity and a form which is consistent with delivering the stated purpose; and</w:t>
      </w:r>
    </w:p>
    <w:p w14:paraId="190592A0" w14:textId="77777777" w:rsidR="00814CC6" w:rsidRPr="00BF53F9" w:rsidRDefault="00814CC6" w:rsidP="00814CC6">
      <w:pPr>
        <w:ind w:left="1134" w:hanging="567"/>
      </w:pPr>
      <w:r w:rsidRPr="00BF53F9">
        <w:rPr>
          <w:i/>
          <w:iCs/>
        </w:rPr>
        <w:t>d)</w:t>
      </w:r>
      <w:r w:rsidRPr="00BF53F9">
        <w:tab/>
      </w:r>
      <w:proofErr w:type="gramStart"/>
      <w:r w:rsidRPr="00BF53F9">
        <w:rPr>
          <w:i/>
          <w:iCs/>
        </w:rPr>
        <w:t>the</w:t>
      </w:r>
      <w:proofErr w:type="gramEnd"/>
      <w:r w:rsidRPr="00BF53F9">
        <w:rPr>
          <w:i/>
          <w:iCs/>
        </w:rPr>
        <w:t xml:space="preserve"> addition of the substance is not likely to create a significant negative public health impact to the general population or sub population; and</w:t>
      </w:r>
    </w:p>
    <w:p w14:paraId="05D6BBBA" w14:textId="77777777" w:rsidR="00814CC6" w:rsidRPr="00BF53F9" w:rsidRDefault="00814CC6" w:rsidP="00814CC6">
      <w:pPr>
        <w:ind w:left="1134" w:hanging="567"/>
      </w:pPr>
      <w:r w:rsidRPr="00BF53F9">
        <w:rPr>
          <w:i/>
          <w:iCs/>
        </w:rPr>
        <w:t>e)</w:t>
      </w:r>
      <w:r w:rsidRPr="00BF53F9">
        <w:tab/>
      </w:r>
      <w:proofErr w:type="gramStart"/>
      <w:r w:rsidRPr="00BF53F9">
        <w:rPr>
          <w:i/>
          <w:iCs/>
        </w:rPr>
        <w:t>the</w:t>
      </w:r>
      <w:proofErr w:type="gramEnd"/>
      <w:r w:rsidRPr="00BF53F9">
        <w:rPr>
          <w:i/>
          <w:iCs/>
        </w:rPr>
        <w:t xml:space="preserve"> presence of the substance does not mislead the consumer as to the nutritional quality of the food.</w:t>
      </w:r>
    </w:p>
    <w:p w14:paraId="19EC7982" w14:textId="37AC493A" w:rsidR="00335079" w:rsidRDefault="00335079" w:rsidP="00F20B45">
      <w:r>
        <w:br w:type="page"/>
      </w:r>
    </w:p>
    <w:p w14:paraId="1FFE26C7" w14:textId="3AB4326C" w:rsidR="00646277" w:rsidRDefault="00EC4498" w:rsidP="00041A89">
      <w:pPr>
        <w:rPr>
          <w:lang w:bidi="ar-SA"/>
        </w:rPr>
      </w:pPr>
      <w:r>
        <w:lastRenderedPageBreak/>
        <w:t xml:space="preserve">More detail on these specific principles, including how they are currently addressed in the context of amending the Code to add permissions for new substances, is provided in </w:t>
      </w:r>
      <w:r w:rsidR="00984B3C">
        <w:t>SD5</w:t>
      </w:r>
      <w:r w:rsidR="009E169A">
        <w:t xml:space="preserve"> – Consideration of Policy Guideline on Substances other than Vitamins and Minerals</w:t>
      </w:r>
      <w:r>
        <w:t xml:space="preserve">. </w:t>
      </w:r>
      <w:r w:rsidR="00A447F9">
        <w:t xml:space="preserve">How these principles may be addressed in the context of the alternative approach presented by FSANZ </w:t>
      </w:r>
      <w:r w:rsidR="00A447F9" w:rsidRPr="00DA155A">
        <w:t xml:space="preserve">(section </w:t>
      </w:r>
      <w:r w:rsidR="00335079">
        <w:t>4</w:t>
      </w:r>
      <w:r w:rsidR="00DA155A" w:rsidRPr="00DA155A">
        <w:t>.2.3</w:t>
      </w:r>
      <w:r w:rsidR="00A447F9" w:rsidRPr="00DA155A">
        <w:t xml:space="preserve">) is provided in section </w:t>
      </w:r>
      <w:r w:rsidR="00335079">
        <w:t>4</w:t>
      </w:r>
      <w:r w:rsidR="00DA155A">
        <w:t>.3.</w:t>
      </w:r>
      <w:r w:rsidR="00B179DE">
        <w:t>2</w:t>
      </w:r>
      <w:r w:rsidR="00A447F9">
        <w:t xml:space="preserve">. </w:t>
      </w:r>
    </w:p>
    <w:p w14:paraId="74225CC2" w14:textId="2CD01D0A" w:rsidR="00DE78B6" w:rsidRDefault="00335079" w:rsidP="00566AD1">
      <w:pPr>
        <w:pStyle w:val="Heading2"/>
      </w:pPr>
      <w:bookmarkStart w:id="31" w:name="_Toc436754823"/>
      <w:r>
        <w:t>4</w:t>
      </w:r>
      <w:r w:rsidR="00566AD1">
        <w:t>.2</w:t>
      </w:r>
      <w:r w:rsidR="00DE78B6">
        <w:tab/>
      </w:r>
      <w:r w:rsidR="00DE78B6" w:rsidRPr="00946D74">
        <w:t>Options</w:t>
      </w:r>
      <w:bookmarkEnd w:id="31"/>
    </w:p>
    <w:p w14:paraId="654D6EB8" w14:textId="7DDB0079" w:rsidR="00884995" w:rsidRDefault="00884995" w:rsidP="00884995">
      <w:r>
        <w:t xml:space="preserve">Taking into account </w:t>
      </w:r>
      <w:r w:rsidR="00DF5504">
        <w:t xml:space="preserve">FSANZ’s </w:t>
      </w:r>
      <w:r w:rsidR="00C46713">
        <w:t xml:space="preserve">assessment (section </w:t>
      </w:r>
      <w:r w:rsidR="00CA7CFB">
        <w:t>3</w:t>
      </w:r>
      <w:r w:rsidR="00C46713">
        <w:t xml:space="preserve">), the risk management principles identified in section </w:t>
      </w:r>
      <w:r w:rsidR="00335079">
        <w:t>4</w:t>
      </w:r>
      <w:r w:rsidR="005A7F8F">
        <w:t>.1</w:t>
      </w:r>
      <w:r w:rsidR="00C46713">
        <w:t>,</w:t>
      </w:r>
      <w:r>
        <w:t xml:space="preserve"> and comments received in response to the consultation paper released in March 2012 (</w:t>
      </w:r>
      <w:r w:rsidRPr="00DA155A">
        <w:t xml:space="preserve">section </w:t>
      </w:r>
      <w:r w:rsidR="00335079">
        <w:t>8</w:t>
      </w:r>
      <w:r w:rsidR="00E03EBC" w:rsidRPr="00DA155A">
        <w:t>.1.1</w:t>
      </w:r>
      <w:r w:rsidR="00C46713">
        <w:t>)</w:t>
      </w:r>
      <w:r>
        <w:t xml:space="preserve"> FSANZ has </w:t>
      </w:r>
      <w:r w:rsidR="007B2C8C">
        <w:t>investigated</w:t>
      </w:r>
      <w:r>
        <w:t xml:space="preserve"> potential </w:t>
      </w:r>
      <w:r w:rsidR="00C46713">
        <w:t xml:space="preserve">options to improve the regulation of </w:t>
      </w:r>
      <w:r>
        <w:t xml:space="preserve">the type of foods intended to be captured under the existing nutritive substance and novel food provisions in the Code. </w:t>
      </w:r>
    </w:p>
    <w:p w14:paraId="669D666D" w14:textId="77777777" w:rsidR="007B2C8C" w:rsidRDefault="007B2C8C" w:rsidP="007B2C8C">
      <w:pPr>
        <w:rPr>
          <w:b/>
          <w:bCs/>
          <w:lang w:eastAsia="en-AU" w:bidi="ar-SA"/>
        </w:rPr>
      </w:pPr>
    </w:p>
    <w:p w14:paraId="3F6F5EC8" w14:textId="77777777" w:rsidR="00DF5504" w:rsidRDefault="00B37E03" w:rsidP="00DF5504">
      <w:r>
        <w:t>T</w:t>
      </w:r>
      <w:r w:rsidR="007B2C8C">
        <w:t xml:space="preserve">hree options </w:t>
      </w:r>
      <w:r>
        <w:t xml:space="preserve">are </w:t>
      </w:r>
      <w:r w:rsidR="00DF5504">
        <w:t>outlined below.</w:t>
      </w:r>
      <w:r w:rsidR="007B2C8C">
        <w:t xml:space="preserve"> FSANZ </w:t>
      </w:r>
      <w:r w:rsidR="00F45A05">
        <w:t>prefers option 3</w:t>
      </w:r>
      <w:r w:rsidR="00CC5B52">
        <w:t xml:space="preserve"> and has presented a draft framework for discussion as a possible way of developing an alternative approach to the current regulation of nutritive substances and novel foods. </w:t>
      </w:r>
    </w:p>
    <w:p w14:paraId="2E93E9D0" w14:textId="77777777" w:rsidR="00DF5504" w:rsidRDefault="00DF5504" w:rsidP="00DF5504"/>
    <w:p w14:paraId="7B7D8B27" w14:textId="0FED45F5" w:rsidR="007B2C8C" w:rsidRDefault="005D3B2B" w:rsidP="00884995">
      <w:r>
        <w:t xml:space="preserve">The costs and benefits of each option are discussed in more detail in </w:t>
      </w:r>
      <w:r w:rsidR="009E169A">
        <w:rPr>
          <w:lang w:bidi="ar-SA"/>
        </w:rPr>
        <w:t xml:space="preserve">SD1 </w:t>
      </w:r>
      <w:r w:rsidR="009E169A">
        <w:t xml:space="preserve">– </w:t>
      </w:r>
      <w:r w:rsidR="006D1AC4" w:rsidRPr="005D3B2B">
        <w:rPr>
          <w:lang w:bidi="ar-SA"/>
        </w:rPr>
        <w:t>Qualitative Assessment of Costs and Benefits</w:t>
      </w:r>
      <w:r w:rsidRPr="005D3B2B">
        <w:rPr>
          <w:lang w:bidi="ar-SA"/>
        </w:rPr>
        <w:t>.</w:t>
      </w:r>
      <w:r>
        <w:rPr>
          <w:lang w:bidi="ar-SA"/>
        </w:rPr>
        <w:t xml:space="preserve"> </w:t>
      </w:r>
    </w:p>
    <w:p w14:paraId="1A505905" w14:textId="692E05DA" w:rsidR="00E24831" w:rsidRDefault="00335079" w:rsidP="000D0DA9">
      <w:pPr>
        <w:pStyle w:val="Heading3"/>
      </w:pPr>
      <w:bookmarkStart w:id="32" w:name="_Toc393445361"/>
      <w:bookmarkStart w:id="33" w:name="_Toc436754824"/>
      <w:r>
        <w:t>4</w:t>
      </w:r>
      <w:r w:rsidR="00566AD1">
        <w:t>.2.1</w:t>
      </w:r>
      <w:r w:rsidR="00E24831">
        <w:tab/>
      </w:r>
      <w:r w:rsidR="005A7F8F">
        <w:t xml:space="preserve">Option 1: </w:t>
      </w:r>
      <w:r w:rsidR="00E24831">
        <w:t>Status quo</w:t>
      </w:r>
      <w:bookmarkEnd w:id="32"/>
      <w:bookmarkEnd w:id="33"/>
    </w:p>
    <w:p w14:paraId="1773E66B" w14:textId="77777777" w:rsidR="00743207" w:rsidRDefault="00DF5504" w:rsidP="00E24831">
      <w:r>
        <w:t>In any consideration of changes to regulation t</w:t>
      </w:r>
      <w:r w:rsidR="007B2C8C">
        <w:t xml:space="preserve">he status quo </w:t>
      </w:r>
      <w:r w:rsidR="00C8539E">
        <w:t xml:space="preserve">must be a part of FSANZ’s assessment. Maintaining current </w:t>
      </w:r>
      <w:r w:rsidR="007B2C8C">
        <w:t xml:space="preserve">provisions for nutritive substances and novel foods in the </w:t>
      </w:r>
      <w:r w:rsidR="006C2FF9">
        <w:t xml:space="preserve">revised </w:t>
      </w:r>
      <w:r w:rsidR="007B2C8C">
        <w:t>Code</w:t>
      </w:r>
      <w:r w:rsidR="00C8539E">
        <w:t xml:space="preserve"> would not address</w:t>
      </w:r>
      <w:r w:rsidR="00743207">
        <w:t xml:space="preserve"> the</w:t>
      </w:r>
      <w:r w:rsidR="00E24831">
        <w:t xml:space="preserve"> lack of legal clarity</w:t>
      </w:r>
      <w:r w:rsidR="00C8539E">
        <w:t xml:space="preserve"> and enforcement issues</w:t>
      </w:r>
      <w:r w:rsidR="00064304">
        <w:t xml:space="preserve"> discussed earlier</w:t>
      </w:r>
      <w:r w:rsidR="00C8539E">
        <w:t xml:space="preserve">. The continuation of current </w:t>
      </w:r>
      <w:r w:rsidR="002408A9">
        <w:t>provisions</w:t>
      </w:r>
      <w:r w:rsidR="006C2FF9">
        <w:t xml:space="preserve"> </w:t>
      </w:r>
      <w:r w:rsidR="00EB2F77">
        <w:rPr>
          <w:lang w:bidi="ar-SA"/>
        </w:rPr>
        <w:t xml:space="preserve">would not </w:t>
      </w:r>
      <w:r w:rsidR="00064304">
        <w:rPr>
          <w:lang w:bidi="ar-SA"/>
        </w:rPr>
        <w:t xml:space="preserve">effectively </w:t>
      </w:r>
      <w:r w:rsidR="00EB2F77">
        <w:rPr>
          <w:lang w:bidi="ar-SA"/>
        </w:rPr>
        <w:t xml:space="preserve">manage the </w:t>
      </w:r>
      <w:r w:rsidR="0046485E">
        <w:rPr>
          <w:lang w:bidi="ar-SA"/>
        </w:rPr>
        <w:t>current uncertainty associated with them</w:t>
      </w:r>
      <w:r w:rsidR="00EB2F77">
        <w:rPr>
          <w:lang w:bidi="ar-SA"/>
        </w:rPr>
        <w:t>.</w:t>
      </w:r>
    </w:p>
    <w:p w14:paraId="545B42EE" w14:textId="77777777" w:rsidR="00743207" w:rsidRDefault="00743207" w:rsidP="00E24831"/>
    <w:p w14:paraId="4C2376CF" w14:textId="77777777" w:rsidR="00E24831" w:rsidRDefault="00743207" w:rsidP="00E24831">
      <w:r>
        <w:t xml:space="preserve">The status quo </w:t>
      </w:r>
      <w:r w:rsidR="00CC5B52">
        <w:t xml:space="preserve">could </w:t>
      </w:r>
      <w:r>
        <w:t xml:space="preserve">maintain a reliance on </w:t>
      </w:r>
      <w:r w:rsidR="00CC5B52">
        <w:t>an ACNF type process</w:t>
      </w:r>
      <w:r>
        <w:t xml:space="preserve"> to provide advice on whether certain foods are likely to be considered novel or not. The status quo would also maintain the requirement that industry should submit applications to FSANZ for the approval of all nutritive substances and novel foods, which is an approach that may not be commensurate with the risk of all these substances and foods</w:t>
      </w:r>
      <w:r w:rsidR="00C55BA3">
        <w:t xml:space="preserve"> and therefore may impose undue regulatory burden on industry for foods that are low risk</w:t>
      </w:r>
      <w:r>
        <w:t xml:space="preserve">. </w:t>
      </w:r>
      <w:r w:rsidR="007B2C8C">
        <w:t xml:space="preserve">The ineffectiveness of the current provisions </w:t>
      </w:r>
      <w:r w:rsidR="006C2FF9">
        <w:t>highlights</w:t>
      </w:r>
      <w:r w:rsidR="007B2C8C">
        <w:t xml:space="preserve"> the opportunity to investigate alternative options that are based on risk and an evaluation of previous experience. </w:t>
      </w:r>
    </w:p>
    <w:p w14:paraId="0791AE95" w14:textId="77777777" w:rsidR="00E24831" w:rsidRPr="005D3B2B" w:rsidRDefault="00E24831" w:rsidP="00E24831"/>
    <w:p w14:paraId="7AE33343" w14:textId="77777777" w:rsidR="00E24831" w:rsidRPr="00DA155A" w:rsidRDefault="00BC4DF9"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sidRPr="006F0ECF">
        <w:rPr>
          <w:b/>
          <w:lang w:eastAsia="en-AU" w:bidi="ar-SA"/>
        </w:rPr>
        <w:t>Questions</w:t>
      </w:r>
      <w:r w:rsidR="00E24831">
        <w:rPr>
          <w:lang w:eastAsia="en-AU" w:bidi="ar-SA"/>
        </w:rPr>
        <w:t>:</w:t>
      </w:r>
      <w:r w:rsidR="00946D74">
        <w:rPr>
          <w:lang w:eastAsia="en-AU" w:bidi="ar-SA"/>
        </w:rPr>
        <w:t xml:space="preserve"> </w:t>
      </w:r>
    </w:p>
    <w:p w14:paraId="793286D3" w14:textId="77777777" w:rsidR="00E03EBC" w:rsidRPr="00DA155A" w:rsidRDefault="00E03EBC"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p>
    <w:p w14:paraId="226B45AA" w14:textId="77777777" w:rsidR="00E03EBC" w:rsidRDefault="00442E14"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Pr>
          <w:lang w:eastAsia="en-AU" w:bidi="ar-SA"/>
        </w:rPr>
        <w:t>Are there elements of the status quo that you support maintaining in the Code? If so, please provide details and reasons for your support.</w:t>
      </w:r>
    </w:p>
    <w:p w14:paraId="085C4BB9" w14:textId="77777777" w:rsidR="00442E14" w:rsidRDefault="00442E14"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p>
    <w:p w14:paraId="57D1BE30" w14:textId="77777777" w:rsidR="00442E14" w:rsidRPr="00126D26" w:rsidRDefault="00442E14" w:rsidP="006F0ECF">
      <w:pPr>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Pr>
          <w:lang w:eastAsia="en-AU" w:bidi="ar-SA"/>
        </w:rPr>
        <w:t>Can you identify</w:t>
      </w:r>
      <w:r w:rsidR="001D0D9B">
        <w:rPr>
          <w:lang w:eastAsia="en-AU" w:bidi="ar-SA"/>
        </w:rPr>
        <w:t xml:space="preserve"> any problems with the status quo</w:t>
      </w:r>
      <w:r>
        <w:rPr>
          <w:lang w:eastAsia="en-AU" w:bidi="ar-SA"/>
        </w:rPr>
        <w:t xml:space="preserve"> in addition to t</w:t>
      </w:r>
      <w:r w:rsidR="001D0D9B">
        <w:rPr>
          <w:lang w:eastAsia="en-AU" w:bidi="ar-SA"/>
        </w:rPr>
        <w:t>hose highlighted in this report? If so, please provide details.</w:t>
      </w:r>
    </w:p>
    <w:p w14:paraId="247A2A4E" w14:textId="319958F0" w:rsidR="00E24831" w:rsidRDefault="00136C48" w:rsidP="000D0DA9">
      <w:pPr>
        <w:pStyle w:val="Heading3"/>
      </w:pPr>
      <w:bookmarkStart w:id="34" w:name="_Toc393445362"/>
      <w:bookmarkStart w:id="35" w:name="_Toc436754825"/>
      <w:r>
        <w:t>4</w:t>
      </w:r>
      <w:r w:rsidR="00E24831">
        <w:t>.2</w:t>
      </w:r>
      <w:r w:rsidR="00566AD1">
        <w:t>.2</w:t>
      </w:r>
      <w:r w:rsidR="00E24831">
        <w:tab/>
      </w:r>
      <w:r w:rsidR="005A7F8F">
        <w:t xml:space="preserve">Option 2: </w:t>
      </w:r>
      <w:r w:rsidR="00C8539E">
        <w:t>A</w:t>
      </w:r>
      <w:r w:rsidR="00B963A5">
        <w:t>mend the current</w:t>
      </w:r>
      <w:r w:rsidR="00E24831">
        <w:t xml:space="preserve"> definitions</w:t>
      </w:r>
      <w:bookmarkEnd w:id="34"/>
      <w:bookmarkEnd w:id="35"/>
      <w:r w:rsidR="00E24831">
        <w:t xml:space="preserve"> </w:t>
      </w:r>
    </w:p>
    <w:p w14:paraId="7BE9FBFD" w14:textId="77777777" w:rsidR="00A30AD6" w:rsidRDefault="00C8539E" w:rsidP="00E24831">
      <w:r>
        <w:t>Under t</w:t>
      </w:r>
      <w:r w:rsidR="000A3679">
        <w:t>his option the reliance on definitions of nutritive substance and novel food to identify the foods that would be subject to pre-market approval</w:t>
      </w:r>
      <w:r>
        <w:t xml:space="preserve"> would be retained</w:t>
      </w:r>
      <w:r w:rsidR="000A3679">
        <w:t xml:space="preserve">. However, the definitions would be amended </w:t>
      </w:r>
      <w:r w:rsidR="00E24831" w:rsidRPr="00F22C97">
        <w:t>to improve</w:t>
      </w:r>
      <w:r w:rsidR="00E24831">
        <w:t xml:space="preserve"> identification of </w:t>
      </w:r>
      <w:r w:rsidR="000A3679">
        <w:t xml:space="preserve">these </w:t>
      </w:r>
      <w:r w:rsidR="00E24831">
        <w:t>foods and substances</w:t>
      </w:r>
      <w:r w:rsidR="00A67555">
        <w:t xml:space="preserve"> as far as possible</w:t>
      </w:r>
      <w:r w:rsidR="00E24831">
        <w:t xml:space="preserve">. </w:t>
      </w:r>
      <w:r w:rsidR="00A30AD6">
        <w:br w:type="page"/>
      </w:r>
    </w:p>
    <w:p w14:paraId="4924ADC9" w14:textId="206FA126" w:rsidR="00E24831" w:rsidRDefault="00D91488" w:rsidP="00E24831">
      <w:r>
        <w:lastRenderedPageBreak/>
        <w:t>When it was</w:t>
      </w:r>
      <w:r w:rsidR="00C8539E">
        <w:t xml:space="preserve"> added to the </w:t>
      </w:r>
      <w:r w:rsidR="00C8539E" w:rsidRPr="00212E6A">
        <w:t>Code</w:t>
      </w:r>
      <w:r>
        <w:t xml:space="preserve"> in 2000</w:t>
      </w:r>
      <w:r w:rsidR="00E24831" w:rsidRPr="00212E6A">
        <w:t xml:space="preserve">, the definition of nutritive substance did capture </w:t>
      </w:r>
      <w:r w:rsidR="00C8539E" w:rsidRPr="00212E6A">
        <w:t>most</w:t>
      </w:r>
      <w:r w:rsidR="00E24831" w:rsidRPr="00212E6A">
        <w:t xml:space="preserve"> nutritive substances in the regulatory sphere</w:t>
      </w:r>
      <w:r>
        <w:t xml:space="preserve"> at the time</w:t>
      </w:r>
      <w:r w:rsidR="00C8539E" w:rsidRPr="00212E6A">
        <w:t>.</w:t>
      </w:r>
      <w:r w:rsidR="00E24831" w:rsidRPr="00212E6A">
        <w:t xml:space="preserve"> Indeed, a number of these nutritive substances are specifically listed in the definition of </w:t>
      </w:r>
      <w:r w:rsidR="00C55BA3" w:rsidRPr="00212E6A">
        <w:t>nutritive substance in Standard </w:t>
      </w:r>
      <w:r w:rsidR="00E24831" w:rsidRPr="00212E6A">
        <w:t>1.1.1</w:t>
      </w:r>
      <w:r w:rsidR="00B54AB5">
        <w:t xml:space="preserve"> or by virtue of the permissions for substances to be ‘used as a nutritive substance’ in other standards</w:t>
      </w:r>
      <w:r w:rsidR="00E24831" w:rsidRPr="00212E6A">
        <w:t>. It is therefore quite straightfo</w:t>
      </w:r>
      <w:r w:rsidR="00E24831">
        <w:t xml:space="preserve">rward to </w:t>
      </w:r>
      <w:r w:rsidR="00A67555">
        <w:t>identify</w:t>
      </w:r>
      <w:r w:rsidR="00E24831">
        <w:t xml:space="preserve"> </w:t>
      </w:r>
      <w:r w:rsidR="00A67555">
        <w:t xml:space="preserve">those </w:t>
      </w:r>
      <w:r w:rsidR="00E24831">
        <w:t xml:space="preserve">vitamins, minerals, amino acids, electrolytes and nucleotides </w:t>
      </w:r>
      <w:r w:rsidR="00A67555">
        <w:t xml:space="preserve">as </w:t>
      </w:r>
      <w:r w:rsidR="00E24831">
        <w:t xml:space="preserve">nutritive substances </w:t>
      </w:r>
      <w:r w:rsidR="00BC0A70">
        <w:t>(and</w:t>
      </w:r>
      <w:r w:rsidR="00A67555">
        <w:t xml:space="preserve"> </w:t>
      </w:r>
      <w:r w:rsidR="00E24831">
        <w:t>therefore prohibited from being added to food unless they are permitted elsewhere in the Code</w:t>
      </w:r>
      <w:r w:rsidR="00BC0A70">
        <w:t>)</w:t>
      </w:r>
      <w:r w:rsidR="00E24831">
        <w:t xml:space="preserve">. </w:t>
      </w:r>
      <w:r w:rsidR="00020938">
        <w:t xml:space="preserve">As noted </w:t>
      </w:r>
      <w:r w:rsidR="00020938" w:rsidRPr="00442E14">
        <w:t xml:space="preserve">in section </w:t>
      </w:r>
      <w:r w:rsidR="00A30AD6">
        <w:t>2</w:t>
      </w:r>
      <w:r w:rsidR="00A81D31">
        <w:t>.1</w:t>
      </w:r>
      <w:r w:rsidR="00020938" w:rsidRPr="00442E14">
        <w:t>,</w:t>
      </w:r>
      <w:r w:rsidR="00020938">
        <w:t xml:space="preserve"> t</w:t>
      </w:r>
      <w:r w:rsidR="00E24831">
        <w:t xml:space="preserve">he major difficulty with the </w:t>
      </w:r>
      <w:r w:rsidR="00020938">
        <w:t xml:space="preserve">current </w:t>
      </w:r>
      <w:r w:rsidR="00E24831">
        <w:t xml:space="preserve">definition of nutritive substance arises for other substances that are not listed. </w:t>
      </w:r>
    </w:p>
    <w:p w14:paraId="1F2BD7C8" w14:textId="77777777" w:rsidR="00442E14" w:rsidRPr="00F22C97" w:rsidRDefault="00442E14" w:rsidP="00E24831"/>
    <w:p w14:paraId="7001CC60" w14:textId="71F7B2BA" w:rsidR="00DE7B0B" w:rsidRDefault="00E24831" w:rsidP="00E24831">
      <w:r>
        <w:t>The current definition of novel food was an outcome of P291</w:t>
      </w:r>
      <w:r w:rsidR="00CC5B52">
        <w:t>, which</w:t>
      </w:r>
      <w:r w:rsidR="00F41EE4">
        <w:t xml:space="preserve"> </w:t>
      </w:r>
      <w:r w:rsidR="00A67555">
        <w:t>took account of</w:t>
      </w:r>
      <w:r>
        <w:t xml:space="preserve"> significant stakeholder input</w:t>
      </w:r>
      <w:r w:rsidR="00EB7C7A">
        <w:t>, particularly into the definition of novel foods</w:t>
      </w:r>
      <w:r>
        <w:t xml:space="preserve">. </w:t>
      </w:r>
      <w:r w:rsidR="00EB7C7A">
        <w:t xml:space="preserve">The approach relies on identifying foods which require a pre-market approval. </w:t>
      </w:r>
      <w:r>
        <w:t xml:space="preserve">The ACNF was established to provide a </w:t>
      </w:r>
      <w:r w:rsidR="00C8539E">
        <w:t>way to consider</w:t>
      </w:r>
      <w:r>
        <w:t xml:space="preserve"> whether certain foods were likely to meet the definition of novel food. </w:t>
      </w:r>
      <w:r w:rsidR="00F41EE4">
        <w:t xml:space="preserve">The ACNF uses a </w:t>
      </w:r>
      <w:r>
        <w:t>guidance tool</w:t>
      </w:r>
      <w:r>
        <w:rPr>
          <w:rStyle w:val="FootnoteReference"/>
        </w:rPr>
        <w:footnoteReference w:id="8"/>
      </w:r>
      <w:r>
        <w:t xml:space="preserve"> to </w:t>
      </w:r>
      <w:r w:rsidR="00C8539E">
        <w:t>help</w:t>
      </w:r>
      <w:r>
        <w:t xml:space="preserve"> interpret the definition, particularly the term ‘history of human consumption’. The guidance tool outlines the type of information that can influence the consideration of whether there is a history of human consumption, including the length of use, the extent of use in the population, the quantity of the food consumed in a traditional context and the context of use (e.g. food versus traditional medicinal use). </w:t>
      </w:r>
    </w:p>
    <w:p w14:paraId="100A6BF9" w14:textId="77777777" w:rsidR="00DE7B0B" w:rsidRDefault="00DE7B0B" w:rsidP="00E24831"/>
    <w:p w14:paraId="7ADCF4EA" w14:textId="650D2F92" w:rsidR="00B23579" w:rsidRDefault="00A67555" w:rsidP="003D7E55">
      <w:r>
        <w:t>However, the</w:t>
      </w:r>
      <w:r w:rsidR="00E24831">
        <w:t xml:space="preserve"> need for the </w:t>
      </w:r>
      <w:r w:rsidR="00F41EE4">
        <w:t xml:space="preserve">ACNF and the </w:t>
      </w:r>
      <w:r w:rsidR="00E24831">
        <w:t>guidance tool highlights the difficulty in objectively defining terms like ‘history of human consumption’ in a way that ensure</w:t>
      </w:r>
      <w:r>
        <w:t>s</w:t>
      </w:r>
      <w:r w:rsidR="00E24831">
        <w:t xml:space="preserve"> consistency of interpretation while also ensuring that a definition does not capture too much or too little in terms of foods requiring pre-market approval.</w:t>
      </w:r>
      <w:r w:rsidR="002408A9">
        <w:t xml:space="preserve"> Attempting to </w:t>
      </w:r>
      <w:r w:rsidR="004F0F26">
        <w:t>r</w:t>
      </w:r>
      <w:r w:rsidR="002408A9">
        <w:t>efine the problematic terms included in the definition of nutritive substance would also be subject to similar difficulties</w:t>
      </w:r>
      <w:r w:rsidR="00B23579">
        <w:t xml:space="preserve">, </w:t>
      </w:r>
      <w:r w:rsidR="003A77A4">
        <w:t xml:space="preserve">particularly as the nature of these substances </w:t>
      </w:r>
      <w:r w:rsidR="00B23579">
        <w:t xml:space="preserve">and novel foods </w:t>
      </w:r>
      <w:r w:rsidR="003A77A4">
        <w:t xml:space="preserve">is likely to continue to change as the food industry continues to innovate. </w:t>
      </w:r>
      <w:r w:rsidR="004F0F26">
        <w:t>This option could use</w:t>
      </w:r>
      <w:r w:rsidR="00814A20">
        <w:t xml:space="preserve"> a cut-off date, as used in the EU and US, in addition to amended definitions, </w:t>
      </w:r>
      <w:r w:rsidR="004F0F26">
        <w:t>to</w:t>
      </w:r>
      <w:r w:rsidR="00814A20">
        <w:t xml:space="preserve"> partly improve the clarity of capture of foods requiring pre-market approval. </w:t>
      </w:r>
    </w:p>
    <w:p w14:paraId="09AC9D76" w14:textId="77777777" w:rsidR="00B23579" w:rsidRDefault="00B23579" w:rsidP="003D7E55"/>
    <w:p w14:paraId="3E217349" w14:textId="4BF6867B" w:rsidR="003A77A4" w:rsidRDefault="00B23579" w:rsidP="003D7E55">
      <w:r>
        <w:t xml:space="preserve">It may be possible to draft definitions that are either quite </w:t>
      </w:r>
      <w:r w:rsidR="00BC0A70">
        <w:t>broad</w:t>
      </w:r>
      <w:r>
        <w:t xml:space="preserve"> </w:t>
      </w:r>
      <w:r w:rsidR="00814A20">
        <w:t xml:space="preserve">(and therefore capture low risk foods) </w:t>
      </w:r>
      <w:r>
        <w:t>or narrow and specific</w:t>
      </w:r>
      <w:r w:rsidR="00814A20">
        <w:t>. N</w:t>
      </w:r>
      <w:r w:rsidR="003C45FC">
        <w:t xml:space="preserve">oting the increasing overlap between substances that could be considered to meet both definitions </w:t>
      </w:r>
      <w:r w:rsidR="00A30AD6">
        <w:t>(section 2</w:t>
      </w:r>
      <w:r w:rsidR="00B04E54">
        <w:t xml:space="preserve">.3) </w:t>
      </w:r>
      <w:r w:rsidR="003C45FC">
        <w:t xml:space="preserve">it </w:t>
      </w:r>
      <w:r w:rsidR="00814A20">
        <w:t xml:space="preserve">would be </w:t>
      </w:r>
      <w:r w:rsidR="003C45FC">
        <w:t>possible to combine them into one definition.</w:t>
      </w:r>
    </w:p>
    <w:p w14:paraId="245092EF" w14:textId="77777777" w:rsidR="003A77A4" w:rsidRDefault="003A77A4" w:rsidP="003D7E55"/>
    <w:p w14:paraId="4221A561" w14:textId="6435166F" w:rsidR="003E317A" w:rsidRDefault="004F0F26" w:rsidP="003D7E55">
      <w:r>
        <w:t>The</w:t>
      </w:r>
      <w:r w:rsidR="00814A20">
        <w:t xml:space="preserve"> use of</w:t>
      </w:r>
      <w:r w:rsidR="00144EDB">
        <w:t xml:space="preserve"> a definition </w:t>
      </w:r>
      <w:r w:rsidR="00814A20">
        <w:t xml:space="preserve">to capture foods requiring pre-approval </w:t>
      </w:r>
      <w:r w:rsidR="00144EDB">
        <w:t>may not foresee future developments in food production, which could result in new foods not being captured by the definition</w:t>
      </w:r>
      <w:r w:rsidR="00814A20">
        <w:t>.</w:t>
      </w:r>
      <w:r w:rsidR="00144EDB">
        <w:t xml:space="preserve"> Th</w:t>
      </w:r>
      <w:r w:rsidR="00F30C35">
        <w:t>ese issues</w:t>
      </w:r>
      <w:r w:rsidR="00144EDB">
        <w:t xml:space="preserve"> may result in similar problems to those currently being experienced by food enforcement agencies and/or the need to constantly update the definition to include new developments. </w:t>
      </w:r>
    </w:p>
    <w:p w14:paraId="1FD249D0" w14:textId="77777777" w:rsidR="00144EDB" w:rsidRDefault="00144EDB" w:rsidP="003D7E55"/>
    <w:p w14:paraId="0E9898DD" w14:textId="7C84930F" w:rsidR="00814A20" w:rsidRDefault="00814A20" w:rsidP="00814A20">
      <w:r>
        <w:t xml:space="preserve">It is noted that the use of definitions by other international jurisdictions has also proven to be problematic. </w:t>
      </w:r>
    </w:p>
    <w:p w14:paraId="050AB0EC" w14:textId="77777777" w:rsidR="00814A20" w:rsidRDefault="00814A20" w:rsidP="00814A20"/>
    <w:p w14:paraId="3548A98F" w14:textId="37B71ADB" w:rsidR="00A30AD6" w:rsidRDefault="00144EDB" w:rsidP="004F0F26">
      <w:r>
        <w:t>FSANZ has not drafted new definitions for nutritive substances and novel foods at this stage of the Proposal</w:t>
      </w:r>
      <w:r w:rsidR="000071BA">
        <w:t>, but encourages suggestions from stakeholders</w:t>
      </w:r>
      <w:r>
        <w:t xml:space="preserve">. </w:t>
      </w:r>
      <w:r w:rsidR="00A30AD6">
        <w:br w:type="page"/>
      </w:r>
    </w:p>
    <w:p w14:paraId="3F9D9436" w14:textId="77777777" w:rsidR="00B36E34" w:rsidRPr="00B963A5" w:rsidRDefault="00E24831" w:rsidP="00E1484D">
      <w:pPr>
        <w:keepNext/>
        <w:keepLines/>
        <w:pBdr>
          <w:top w:val="single" w:sz="4" w:space="1" w:color="auto"/>
          <w:left w:val="single" w:sz="4" w:space="4" w:color="auto"/>
          <w:bottom w:val="single" w:sz="4" w:space="1" w:color="auto"/>
          <w:right w:val="single" w:sz="4" w:space="4" w:color="auto"/>
        </w:pBdr>
        <w:shd w:val="clear" w:color="auto" w:fill="EAF1DD" w:themeFill="accent3" w:themeFillTint="33"/>
        <w:rPr>
          <w:b/>
          <w:lang w:eastAsia="en-AU" w:bidi="ar-SA"/>
        </w:rPr>
      </w:pPr>
      <w:r w:rsidRPr="006F0ECF">
        <w:rPr>
          <w:b/>
          <w:lang w:eastAsia="en-AU" w:bidi="ar-SA"/>
        </w:rPr>
        <w:lastRenderedPageBreak/>
        <w:t>Q</w:t>
      </w:r>
      <w:r w:rsidR="00720927" w:rsidRPr="006F0ECF">
        <w:rPr>
          <w:b/>
          <w:lang w:eastAsia="en-AU" w:bidi="ar-SA"/>
        </w:rPr>
        <w:t>uestions</w:t>
      </w:r>
      <w:r w:rsidRPr="00B963A5">
        <w:rPr>
          <w:b/>
          <w:lang w:eastAsia="en-AU" w:bidi="ar-SA"/>
        </w:rPr>
        <w:t xml:space="preserve">: </w:t>
      </w:r>
    </w:p>
    <w:p w14:paraId="1B4BBD7A" w14:textId="77777777" w:rsidR="001D0D9B" w:rsidRDefault="001D0D9B" w:rsidP="00E1484D">
      <w:pPr>
        <w:keepNext/>
        <w:keepLines/>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p>
    <w:p w14:paraId="43B0AD57" w14:textId="134989B8" w:rsidR="00DE3F78" w:rsidRDefault="001D0D9B" w:rsidP="00E1484D">
      <w:pPr>
        <w:keepNext/>
        <w:keepLines/>
        <w:pBdr>
          <w:top w:val="single" w:sz="4" w:space="1" w:color="auto"/>
          <w:left w:val="single" w:sz="4" w:space="4" w:color="auto"/>
          <w:bottom w:val="single" w:sz="4" w:space="1" w:color="auto"/>
          <w:right w:val="single" w:sz="4" w:space="4" w:color="auto"/>
        </w:pBdr>
        <w:shd w:val="clear" w:color="auto" w:fill="EAF1DD" w:themeFill="accent3" w:themeFillTint="33"/>
        <w:rPr>
          <w:lang w:eastAsia="en-AU" w:bidi="ar-SA"/>
        </w:rPr>
      </w:pPr>
      <w:r>
        <w:rPr>
          <w:lang w:eastAsia="en-AU" w:bidi="ar-SA"/>
        </w:rPr>
        <w:t xml:space="preserve">Do you support amending the definitions of ‘novel food’ and ‘used as a nutritive substance’ in the Code? </w:t>
      </w:r>
      <w:r w:rsidR="00027E3B">
        <w:t xml:space="preserve">If so, </w:t>
      </w:r>
      <w:r w:rsidR="003C45FC">
        <w:t>FSANZ welcomes reasoned suggestions for amended definitions</w:t>
      </w:r>
      <w:bookmarkStart w:id="36" w:name="ProportionateApproach"/>
      <w:bookmarkStart w:id="37" w:name="_Toc393445363"/>
      <w:bookmarkEnd w:id="36"/>
      <w:r>
        <w:t xml:space="preserve"> that will address the problems</w:t>
      </w:r>
      <w:r w:rsidR="00A81D31">
        <w:t xml:space="preserve"> identified in sections </w:t>
      </w:r>
      <w:r w:rsidR="00CA7CFB">
        <w:t>1 and 2</w:t>
      </w:r>
      <w:r w:rsidR="00027E3B">
        <w:t>.</w:t>
      </w:r>
    </w:p>
    <w:p w14:paraId="6BF6A909" w14:textId="348026AB" w:rsidR="00E24831" w:rsidRDefault="00A30AD6" w:rsidP="000D0DA9">
      <w:pPr>
        <w:pStyle w:val="Heading3"/>
      </w:pPr>
      <w:bookmarkStart w:id="38" w:name="_Toc436754826"/>
      <w:r>
        <w:t>4</w:t>
      </w:r>
      <w:r w:rsidR="00E24831">
        <w:t>.</w:t>
      </w:r>
      <w:r w:rsidR="00566AD1">
        <w:t>2.</w:t>
      </w:r>
      <w:r w:rsidR="00E24831">
        <w:t>3</w:t>
      </w:r>
      <w:r w:rsidR="00E24831">
        <w:tab/>
      </w:r>
      <w:r w:rsidR="005A7F8F">
        <w:t xml:space="preserve">Option 3: </w:t>
      </w:r>
      <w:r w:rsidR="00B963A5">
        <w:t>Develop an a</w:t>
      </w:r>
      <w:r w:rsidR="00566AD1">
        <w:t>lternative framework</w:t>
      </w:r>
      <w:bookmarkEnd w:id="37"/>
      <w:bookmarkEnd w:id="38"/>
    </w:p>
    <w:p w14:paraId="094331E8" w14:textId="4D3938E8" w:rsidR="00814A20" w:rsidRDefault="00D653BB" w:rsidP="00E24831">
      <w:r>
        <w:t xml:space="preserve">The </w:t>
      </w:r>
      <w:r w:rsidR="00814A20">
        <w:t xml:space="preserve">review of the existing novel food standard provides an opportunity to address the deficiencies identified in terms of the lack of clarity of capture of foods requiring regulatory approval and who is responsible for making the assessment of novelty </w:t>
      </w:r>
      <w:r>
        <w:t>I</w:t>
      </w:r>
      <w:r w:rsidR="00814A20">
        <w:t xml:space="preserve">t also provides an opportunity to build on many years of experience with considering the safety of new foods to develop an approach which is proportionate to risk. </w:t>
      </w:r>
    </w:p>
    <w:p w14:paraId="6D17FD68" w14:textId="77777777" w:rsidR="00814A20" w:rsidRDefault="00814A20" w:rsidP="00E24831"/>
    <w:p w14:paraId="70BFB494" w14:textId="7BE91C0B" w:rsidR="00C94FF1" w:rsidRDefault="00C94FF1" w:rsidP="00E24831">
      <w:r>
        <w:t xml:space="preserve">Different foods have different risks. The safety of low risk foods can be managed through </w:t>
      </w:r>
      <w:r w:rsidR="00547853">
        <w:t>m</w:t>
      </w:r>
      <w:r>
        <w:t xml:space="preserve">easures other than </w:t>
      </w:r>
      <w:r w:rsidR="00185DEE" w:rsidRPr="000D0DA9">
        <w:t xml:space="preserve">requiring </w:t>
      </w:r>
      <w:r w:rsidRPr="000D0DA9">
        <w:t xml:space="preserve">pre-market </w:t>
      </w:r>
      <w:r w:rsidR="008E068C" w:rsidRPr="000D0DA9">
        <w:t>regulatory</w:t>
      </w:r>
      <w:r w:rsidR="008E068C">
        <w:t xml:space="preserve"> approval</w:t>
      </w:r>
      <w:r>
        <w:t>. Higher risk foods might require a mix of me</w:t>
      </w:r>
      <w:r w:rsidR="00547853">
        <w:t>a</w:t>
      </w:r>
      <w:r>
        <w:t>sures including pre-market assessment.</w:t>
      </w:r>
      <w:r w:rsidR="00DE1A1A">
        <w:t xml:space="preserve"> FSANZ considers an alternative to the current Code approach may be required to provide improved clarity and certainty in relation to the regulation of nutritive substances and novel foods. </w:t>
      </w:r>
    </w:p>
    <w:p w14:paraId="057F8AC7" w14:textId="77777777" w:rsidR="00B22709" w:rsidRPr="00B22709" w:rsidRDefault="00B22709" w:rsidP="00E24831"/>
    <w:p w14:paraId="08FBB542" w14:textId="0C857A38" w:rsidR="007F6D9C" w:rsidRDefault="00DE1A1A" w:rsidP="00E24831">
      <w:r>
        <w:t xml:space="preserve">FSANZ has developed a </w:t>
      </w:r>
      <w:r w:rsidR="006A4216">
        <w:t xml:space="preserve">draft </w:t>
      </w:r>
      <w:r>
        <w:t>framework as an example of what could be achieved with an alternative approach</w:t>
      </w:r>
      <w:r w:rsidR="004F0F26">
        <w:t xml:space="preserve"> (described below, with additional detail in Attachment C)</w:t>
      </w:r>
      <w:r>
        <w:t xml:space="preserve">. The </w:t>
      </w:r>
      <w:r w:rsidR="00C55BA3">
        <w:t xml:space="preserve">draft </w:t>
      </w:r>
      <w:r>
        <w:t xml:space="preserve">framework is intended to </w:t>
      </w:r>
      <w:r w:rsidR="00E24831">
        <w:t xml:space="preserve">provide greater </w:t>
      </w:r>
      <w:r>
        <w:t xml:space="preserve">clarity in the identification of foods that require pre-market approval and greater </w:t>
      </w:r>
      <w:r w:rsidR="00E24831">
        <w:t xml:space="preserve">opportunity for </w:t>
      </w:r>
      <w:r w:rsidR="00C46713">
        <w:t xml:space="preserve">proportionate </w:t>
      </w:r>
      <w:r w:rsidR="00E24831">
        <w:t xml:space="preserve">and streamlined assessment processes </w:t>
      </w:r>
      <w:r w:rsidR="00C94FF1">
        <w:t>to assess</w:t>
      </w:r>
      <w:r w:rsidR="00E24831">
        <w:t xml:space="preserve"> </w:t>
      </w:r>
      <w:r w:rsidR="003C45FC">
        <w:t xml:space="preserve">the safety of </w:t>
      </w:r>
      <w:r w:rsidR="00E24831">
        <w:t>new foods entering the market</w:t>
      </w:r>
      <w:r w:rsidR="003C45FC">
        <w:t>place</w:t>
      </w:r>
      <w:r w:rsidR="00E24831">
        <w:t xml:space="preserve"> in Australia and New Zealand. </w:t>
      </w:r>
      <w:r w:rsidR="00185DEE">
        <w:t>The draft framework would only apply to new foods not previously marketed</w:t>
      </w:r>
      <w:r w:rsidR="00915E20">
        <w:t xml:space="preserve">. </w:t>
      </w:r>
      <w:r w:rsidR="004719E7">
        <w:t>I</w:t>
      </w:r>
      <w:r w:rsidR="00915E20">
        <w:t xml:space="preserve">t would not be applied retrospectively to foods that were marketed under the existing Code requirements for nutritive substances and novel foods. </w:t>
      </w:r>
      <w:r w:rsidR="00814A20">
        <w:t>It would therefore improve clarity by not relying on a definition of traditional use.</w:t>
      </w:r>
    </w:p>
    <w:p w14:paraId="3B656AF6" w14:textId="77777777" w:rsidR="006A4216" w:rsidRDefault="006A4216" w:rsidP="00E24831"/>
    <w:p w14:paraId="3CC52BDF" w14:textId="77777777" w:rsidR="00E24831" w:rsidRDefault="00E24831" w:rsidP="00E24831">
      <w:r>
        <w:t xml:space="preserve">The </w:t>
      </w:r>
      <w:r w:rsidR="006A4216">
        <w:t xml:space="preserve">draft framework </w:t>
      </w:r>
      <w:r w:rsidR="00C55BA3">
        <w:t>takes a proportionate approach to risk and</w:t>
      </w:r>
      <w:r>
        <w:t xml:space="preserve"> </w:t>
      </w:r>
      <w:r w:rsidR="002039F1">
        <w:t>has</w:t>
      </w:r>
      <w:r>
        <w:t xml:space="preserve"> three main elements:</w:t>
      </w:r>
    </w:p>
    <w:p w14:paraId="7330CEF1" w14:textId="77777777" w:rsidR="00E24831" w:rsidRDefault="00E24831" w:rsidP="00E248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8A5495" w14:paraId="6426BB9D" w14:textId="77777777" w:rsidTr="00A30AD6">
        <w:tc>
          <w:tcPr>
            <w:tcW w:w="817" w:type="dxa"/>
          </w:tcPr>
          <w:p w14:paraId="327FF7F3" w14:textId="77777777" w:rsidR="008A5495" w:rsidRDefault="008A5495" w:rsidP="00A30AD6">
            <w:pPr>
              <w:pStyle w:val="ListParagraph"/>
              <w:numPr>
                <w:ilvl w:val="0"/>
                <w:numId w:val="6"/>
              </w:numPr>
            </w:pPr>
          </w:p>
        </w:tc>
        <w:tc>
          <w:tcPr>
            <w:tcW w:w="8425" w:type="dxa"/>
          </w:tcPr>
          <w:p w14:paraId="7257FD9D" w14:textId="77777777" w:rsidR="008A5495" w:rsidRDefault="008A5495" w:rsidP="008A5495">
            <w:r>
              <w:t>Identif</w:t>
            </w:r>
            <w:r w:rsidR="002039F1">
              <w:t>ying</w:t>
            </w:r>
            <w:r>
              <w:t xml:space="preserve"> foods which do not require regulatory approval </w:t>
            </w:r>
            <w:r w:rsidR="002039F1">
              <w:t xml:space="preserve">before </w:t>
            </w:r>
            <w:r>
              <w:t>market entry</w:t>
            </w:r>
          </w:p>
          <w:p w14:paraId="34A97628" w14:textId="77777777" w:rsidR="008A5495" w:rsidRDefault="008A5495" w:rsidP="00E24831"/>
        </w:tc>
      </w:tr>
      <w:tr w:rsidR="008A5495" w14:paraId="2AAA4F16" w14:textId="77777777" w:rsidTr="00A30AD6">
        <w:tc>
          <w:tcPr>
            <w:tcW w:w="817" w:type="dxa"/>
          </w:tcPr>
          <w:p w14:paraId="3CF86322" w14:textId="77777777" w:rsidR="008A5495" w:rsidRDefault="008A5495" w:rsidP="00A30AD6">
            <w:pPr>
              <w:rPr>
                <w:lang w:bidi="ar-SA"/>
              </w:rPr>
            </w:pPr>
          </w:p>
        </w:tc>
        <w:tc>
          <w:tcPr>
            <w:tcW w:w="8425" w:type="dxa"/>
          </w:tcPr>
          <w:p w14:paraId="1FFFD4D0" w14:textId="3DA3D8D9" w:rsidR="008A5495" w:rsidRPr="00B22709" w:rsidRDefault="00B22709" w:rsidP="00B22709">
            <w:pPr>
              <w:pStyle w:val="ListParagraph"/>
              <w:numPr>
                <w:ilvl w:val="0"/>
                <w:numId w:val="8"/>
              </w:numPr>
            </w:pPr>
            <w:r w:rsidRPr="00B22709">
              <w:rPr>
                <w:lang w:bidi="ar-SA"/>
              </w:rPr>
              <w:t>T</w:t>
            </w:r>
            <w:r w:rsidR="008A5495" w:rsidRPr="00B22709">
              <w:rPr>
                <w:lang w:bidi="ar-SA"/>
              </w:rPr>
              <w:t xml:space="preserve">he Code would permit the sale of new foods that meet ‘eligible food criteria’. </w:t>
            </w:r>
            <w:r w:rsidR="008A5495" w:rsidRPr="0068150D">
              <w:rPr>
                <w:lang w:bidi="ar-SA"/>
              </w:rPr>
              <w:t xml:space="preserve">The criteria would be </w:t>
            </w:r>
            <w:r w:rsidR="00C94FF1">
              <w:rPr>
                <w:lang w:bidi="ar-SA"/>
              </w:rPr>
              <w:t>set out</w:t>
            </w:r>
            <w:r w:rsidR="00C94FF1" w:rsidRPr="0068150D">
              <w:rPr>
                <w:lang w:bidi="ar-SA"/>
              </w:rPr>
              <w:t xml:space="preserve"> </w:t>
            </w:r>
            <w:r w:rsidR="008A5495" w:rsidRPr="0068150D">
              <w:rPr>
                <w:lang w:bidi="ar-SA"/>
              </w:rPr>
              <w:t>in the Code</w:t>
            </w:r>
            <w:r w:rsidR="00F41EE4" w:rsidRPr="00B22709">
              <w:rPr>
                <w:lang w:bidi="ar-SA"/>
              </w:rPr>
              <w:t xml:space="preserve">. </w:t>
            </w:r>
            <w:r w:rsidR="00547853">
              <w:rPr>
                <w:lang w:bidi="ar-SA"/>
              </w:rPr>
              <w:t>A draft set of criteria have been developed for discussion.</w:t>
            </w:r>
          </w:p>
          <w:p w14:paraId="3493F1A6" w14:textId="77777777" w:rsidR="008A5495" w:rsidRPr="0068150D" w:rsidRDefault="008A5495" w:rsidP="008A5495"/>
        </w:tc>
      </w:tr>
      <w:tr w:rsidR="008A5495" w14:paraId="25B17406" w14:textId="77777777" w:rsidTr="00A30AD6">
        <w:tc>
          <w:tcPr>
            <w:tcW w:w="817" w:type="dxa"/>
          </w:tcPr>
          <w:p w14:paraId="62A8DA67" w14:textId="77777777" w:rsidR="008A5495" w:rsidRDefault="008A5495" w:rsidP="00A30AD6">
            <w:pPr>
              <w:pStyle w:val="ListParagraph"/>
              <w:numPr>
                <w:ilvl w:val="0"/>
                <w:numId w:val="6"/>
              </w:numPr>
            </w:pPr>
          </w:p>
        </w:tc>
        <w:tc>
          <w:tcPr>
            <w:tcW w:w="8425" w:type="dxa"/>
          </w:tcPr>
          <w:p w14:paraId="02CF9257" w14:textId="77777777" w:rsidR="008A5495" w:rsidRDefault="00EA4E55" w:rsidP="008A5495">
            <w:r>
              <w:t>P</w:t>
            </w:r>
            <w:r w:rsidR="008A5495">
              <w:t>re-market assessment routes for market entry of all other foods</w:t>
            </w:r>
          </w:p>
          <w:p w14:paraId="702DBCD0" w14:textId="77777777" w:rsidR="008A5495" w:rsidRDefault="008A5495" w:rsidP="00E24831"/>
        </w:tc>
      </w:tr>
      <w:tr w:rsidR="008A5495" w14:paraId="31010F84" w14:textId="77777777" w:rsidTr="00A30AD6">
        <w:tc>
          <w:tcPr>
            <w:tcW w:w="817" w:type="dxa"/>
          </w:tcPr>
          <w:p w14:paraId="23BCC959" w14:textId="77777777" w:rsidR="008A5495" w:rsidRDefault="008A5495" w:rsidP="00A30AD6"/>
        </w:tc>
        <w:tc>
          <w:tcPr>
            <w:tcW w:w="8425" w:type="dxa"/>
          </w:tcPr>
          <w:p w14:paraId="1C851388" w14:textId="77777777" w:rsidR="008A5495" w:rsidRDefault="00B22709" w:rsidP="00C60739">
            <w:pPr>
              <w:pStyle w:val="ListParagraph"/>
              <w:numPr>
                <w:ilvl w:val="0"/>
                <w:numId w:val="8"/>
              </w:numPr>
            </w:pPr>
            <w:r>
              <w:t>F</w:t>
            </w:r>
            <w:r w:rsidR="002B2EC4">
              <w:t xml:space="preserve">oods that do not meet the ‘eligible food criteria’ </w:t>
            </w:r>
            <w:r w:rsidR="008B2D20">
              <w:t xml:space="preserve">would </w:t>
            </w:r>
            <w:r w:rsidR="002B2EC4">
              <w:t xml:space="preserve">require pre-market assessment before they </w:t>
            </w:r>
            <w:r w:rsidR="008B2D20">
              <w:t xml:space="preserve">could </w:t>
            </w:r>
            <w:r w:rsidR="002B2EC4">
              <w:t xml:space="preserve">be supplied in the </w:t>
            </w:r>
            <w:r w:rsidR="00C808E7">
              <w:t>marketplace in Australia and New Zealand</w:t>
            </w:r>
            <w:r w:rsidR="002B2EC4">
              <w:t xml:space="preserve">. The pre-market assessment may be an </w:t>
            </w:r>
            <w:r w:rsidR="008A5495">
              <w:t xml:space="preserve">industry self-assessment </w:t>
            </w:r>
            <w:r w:rsidR="002B2EC4">
              <w:t xml:space="preserve">process </w:t>
            </w:r>
            <w:r w:rsidR="008A5495">
              <w:t xml:space="preserve">or </w:t>
            </w:r>
            <w:r w:rsidR="00C94FF1">
              <w:t>a</w:t>
            </w:r>
            <w:r w:rsidR="008A5495">
              <w:t xml:space="preserve"> regulatory assessment</w:t>
            </w:r>
            <w:r w:rsidR="002B2EC4">
              <w:t xml:space="preserve"> process.</w:t>
            </w:r>
            <w:r w:rsidR="00BB2215">
              <w:t xml:space="preserve"> </w:t>
            </w:r>
          </w:p>
          <w:p w14:paraId="384B04B9" w14:textId="77777777" w:rsidR="008A5495" w:rsidRDefault="008A5495" w:rsidP="008A5495"/>
        </w:tc>
      </w:tr>
      <w:tr w:rsidR="008A5495" w14:paraId="007FF432" w14:textId="77777777" w:rsidTr="00A30AD6">
        <w:tc>
          <w:tcPr>
            <w:tcW w:w="817" w:type="dxa"/>
          </w:tcPr>
          <w:p w14:paraId="10BCFA6C" w14:textId="77777777" w:rsidR="008A5495" w:rsidRDefault="008A5495" w:rsidP="00A30AD6">
            <w:pPr>
              <w:pStyle w:val="ListParagraph"/>
              <w:numPr>
                <w:ilvl w:val="0"/>
                <w:numId w:val="6"/>
              </w:numPr>
            </w:pPr>
          </w:p>
        </w:tc>
        <w:tc>
          <w:tcPr>
            <w:tcW w:w="8425" w:type="dxa"/>
          </w:tcPr>
          <w:p w14:paraId="3CDFAEF1" w14:textId="77777777" w:rsidR="006C2FF9" w:rsidRDefault="004A729D" w:rsidP="0004365C">
            <w:r>
              <w:t xml:space="preserve">A description of </w:t>
            </w:r>
            <w:r w:rsidR="008A5495">
              <w:t xml:space="preserve">data and dossier requirements </w:t>
            </w:r>
            <w:r w:rsidR="00D274B4">
              <w:t xml:space="preserve">needed </w:t>
            </w:r>
            <w:r w:rsidR="008A5495">
              <w:t xml:space="preserve">to establish safety </w:t>
            </w:r>
            <w:r w:rsidR="0004365C">
              <w:t xml:space="preserve">and impact on public health </w:t>
            </w:r>
            <w:r w:rsidR="008A5495">
              <w:t>of new foods</w:t>
            </w:r>
          </w:p>
          <w:p w14:paraId="6C4725BF" w14:textId="77777777" w:rsidR="008A5495" w:rsidRDefault="008A5495" w:rsidP="000F1062"/>
        </w:tc>
      </w:tr>
      <w:tr w:rsidR="008A5495" w14:paraId="47878E57" w14:textId="77777777" w:rsidTr="00A30AD6">
        <w:tc>
          <w:tcPr>
            <w:tcW w:w="817" w:type="dxa"/>
          </w:tcPr>
          <w:p w14:paraId="47C7D38B" w14:textId="77777777" w:rsidR="008A5495" w:rsidRDefault="008A5495" w:rsidP="00A30AD6"/>
        </w:tc>
        <w:tc>
          <w:tcPr>
            <w:tcW w:w="8425" w:type="dxa"/>
          </w:tcPr>
          <w:p w14:paraId="580B49DF" w14:textId="77777777" w:rsidR="006A4216" w:rsidRDefault="0068150D" w:rsidP="006A4216">
            <w:pPr>
              <w:pStyle w:val="ListParagraph"/>
              <w:numPr>
                <w:ilvl w:val="0"/>
                <w:numId w:val="8"/>
              </w:numPr>
            </w:pPr>
            <w:r>
              <w:t>T</w:t>
            </w:r>
            <w:r w:rsidR="002B2EC4" w:rsidRPr="0068150D">
              <w:t>he type of</w:t>
            </w:r>
            <w:r w:rsidR="008A5495" w:rsidRPr="0068150D">
              <w:t xml:space="preserve"> information </w:t>
            </w:r>
            <w:r w:rsidR="002B2EC4" w:rsidRPr="0068150D">
              <w:t xml:space="preserve">that </w:t>
            </w:r>
            <w:r w:rsidR="008A5495" w:rsidRPr="0068150D">
              <w:t>is needed</w:t>
            </w:r>
            <w:r w:rsidR="00477327">
              <w:t xml:space="preserve"> for each </w:t>
            </w:r>
            <w:r w:rsidR="00D274B4">
              <w:t>pre-market assessment route</w:t>
            </w:r>
            <w:r w:rsidR="002B2EC4" w:rsidRPr="0068150D">
              <w:t xml:space="preserve">; and how </w:t>
            </w:r>
            <w:r w:rsidR="00D274B4">
              <w:t>this information</w:t>
            </w:r>
            <w:r w:rsidR="002B2EC4" w:rsidRPr="0068150D">
              <w:t xml:space="preserve"> should be analysed and </w:t>
            </w:r>
            <w:r w:rsidR="008A5495" w:rsidRPr="0068150D">
              <w:t>interpreted</w:t>
            </w:r>
            <w:r w:rsidR="002B2EC4" w:rsidRPr="0068150D">
              <w:t xml:space="preserve"> to determine whether a food is safe for human consumption</w:t>
            </w:r>
            <w:r w:rsidR="000F1062" w:rsidRPr="0068150D">
              <w:t xml:space="preserve"> and its potential impact on public health</w:t>
            </w:r>
            <w:r w:rsidR="002B2EC4" w:rsidRPr="0068150D">
              <w:t>.</w:t>
            </w:r>
          </w:p>
          <w:p w14:paraId="441DD52A" w14:textId="77777777" w:rsidR="006A4216" w:rsidRDefault="006A4216" w:rsidP="006A4216">
            <w:pPr>
              <w:ind w:left="-817"/>
            </w:pPr>
          </w:p>
        </w:tc>
      </w:tr>
    </w:tbl>
    <w:p w14:paraId="2D112C47" w14:textId="77777777" w:rsidR="00A30AD6" w:rsidRDefault="006A4216" w:rsidP="006A4216">
      <w:bookmarkStart w:id="39" w:name="_Toc393445364"/>
      <w:r>
        <w:t>Each of these elements of the draft framework is summarised below</w:t>
      </w:r>
      <w:r w:rsidR="00FB7D43">
        <w:t xml:space="preserve">. More detail on the development of the draft EFC is provided in SD3. </w:t>
      </w:r>
      <w:r w:rsidR="00A30AD6">
        <w:br w:type="page"/>
      </w:r>
    </w:p>
    <w:p w14:paraId="366C7087" w14:textId="58C58877" w:rsidR="006A4216" w:rsidRDefault="00FB7D43" w:rsidP="006A4216">
      <w:r>
        <w:lastRenderedPageBreak/>
        <w:t xml:space="preserve">More detail on the second and third elements of the draft framework is </w:t>
      </w:r>
      <w:r w:rsidR="006A4216">
        <w:t xml:space="preserve">provided in </w:t>
      </w:r>
      <w:r w:rsidR="006A4216" w:rsidRPr="00DA155A">
        <w:t xml:space="preserve">Attachment </w:t>
      </w:r>
      <w:r w:rsidR="004F0F26">
        <w:t>C</w:t>
      </w:r>
      <w:r w:rsidR="006A4216" w:rsidRPr="00DA155A">
        <w:t>.</w:t>
      </w:r>
      <w:r w:rsidR="006A4216">
        <w:t xml:space="preserve"> </w:t>
      </w:r>
    </w:p>
    <w:p w14:paraId="7925CB79" w14:textId="77777777" w:rsidR="006A4216" w:rsidRDefault="006A4216" w:rsidP="006A4216"/>
    <w:p w14:paraId="39FBD865" w14:textId="77777777" w:rsidR="006A4216" w:rsidRDefault="006A4216" w:rsidP="006A4216">
      <w:pPr>
        <w:pBdr>
          <w:top w:val="single" w:sz="4" w:space="1" w:color="auto"/>
          <w:left w:val="single" w:sz="4" w:space="4" w:color="auto"/>
          <w:bottom w:val="single" w:sz="4" w:space="1" w:color="auto"/>
          <w:right w:val="single" w:sz="4" w:space="4" w:color="auto"/>
        </w:pBdr>
        <w:shd w:val="clear" w:color="auto" w:fill="EAF1DD" w:themeFill="accent3" w:themeFillTint="33"/>
      </w:pPr>
      <w:r>
        <w:t>T</w:t>
      </w:r>
      <w:r w:rsidRPr="00E3693C">
        <w:t>he graduated risk approach</w:t>
      </w:r>
      <w:r>
        <w:t xml:space="preserve"> is presented </w:t>
      </w:r>
      <w:r w:rsidRPr="00E3693C">
        <w:t>as an example of a</w:t>
      </w:r>
      <w:r>
        <w:t>n</w:t>
      </w:r>
      <w:r w:rsidRPr="00E3693C">
        <w:t xml:space="preserve"> approach </w:t>
      </w:r>
      <w:r>
        <w:t xml:space="preserve">that </w:t>
      </w:r>
      <w:r w:rsidRPr="00E3693C">
        <w:t xml:space="preserve">could work in the context of the existing legislative requirements of the food regulatory system in Australia and New Zealand. </w:t>
      </w:r>
      <w:r>
        <w:t xml:space="preserve">FSANZ </w:t>
      </w:r>
      <w:r w:rsidRPr="00E3693C">
        <w:t>has presented detail on identif</w:t>
      </w:r>
      <w:r>
        <w:t>ying</w:t>
      </w:r>
      <w:r w:rsidRPr="00E3693C">
        <w:t xml:space="preserve"> foods that require regulatory approval while presenting principles of alternative assessment processes for these foods. FSANZ is presenting this approach to encourage discussion among stakeholders on potential alternatives that will improve the regulation of nutritive substances and novel foods. FSANZ encourages stakeholders to provide submissions in response to this </w:t>
      </w:r>
      <w:r w:rsidR="00B963A5">
        <w:t xml:space="preserve">assessment summary, which will be used to inform </w:t>
      </w:r>
      <w:r w:rsidR="00314D99">
        <w:t>a decision in relation to the preparation of</w:t>
      </w:r>
      <w:r w:rsidR="00B963A5">
        <w:t xml:space="preserve"> a draft variation to the Code</w:t>
      </w:r>
      <w:r w:rsidR="00314D99">
        <w:t xml:space="preserve"> and a second call for submissions</w:t>
      </w:r>
      <w:r w:rsidRPr="00E3693C">
        <w:t>.</w:t>
      </w:r>
    </w:p>
    <w:p w14:paraId="0DA962B3" w14:textId="598754B7" w:rsidR="001E34FA" w:rsidRDefault="00A30AD6" w:rsidP="000D0DA9">
      <w:pPr>
        <w:pStyle w:val="Heading3"/>
      </w:pPr>
      <w:bookmarkStart w:id="40" w:name="_Toc436754827"/>
      <w:r>
        <w:t>4</w:t>
      </w:r>
      <w:r w:rsidR="00B963A5">
        <w:t>.2.3.1</w:t>
      </w:r>
      <w:r w:rsidR="001E34FA">
        <w:tab/>
        <w:t>Identif</w:t>
      </w:r>
      <w:r w:rsidR="002039F1">
        <w:t>ying</w:t>
      </w:r>
      <w:r w:rsidR="001E34FA">
        <w:t xml:space="preserve"> foods </w:t>
      </w:r>
      <w:r w:rsidR="00EA4E55">
        <w:t xml:space="preserve">that </w:t>
      </w:r>
      <w:r w:rsidR="001E34FA">
        <w:t>do not require regulatory approval</w:t>
      </w:r>
      <w:bookmarkEnd w:id="39"/>
      <w:bookmarkEnd w:id="40"/>
    </w:p>
    <w:p w14:paraId="363C35DC" w14:textId="5F2A610E" w:rsidR="00EA4E55" w:rsidRDefault="00FF6DBA" w:rsidP="001E34FA">
      <w:r>
        <w:t>Pre-market approval is currently required for novel foods</w:t>
      </w:r>
      <w:r w:rsidR="00D653BB">
        <w:t xml:space="preserve"> and n</w:t>
      </w:r>
      <w:r>
        <w:t>ew nutritive substances</w:t>
      </w:r>
      <w:r w:rsidR="00D653BB">
        <w:t>.</w:t>
      </w:r>
      <w:r>
        <w:t xml:space="preserve"> </w:t>
      </w:r>
      <w:r w:rsidR="00AD1DD3">
        <w:t xml:space="preserve">A </w:t>
      </w:r>
      <w:r w:rsidR="00FD568C">
        <w:t xml:space="preserve">graduated risk approach </w:t>
      </w:r>
      <w:r w:rsidR="00AD1DD3">
        <w:t xml:space="preserve">could </w:t>
      </w:r>
      <w:r w:rsidR="006A4216">
        <w:t>retain</w:t>
      </w:r>
      <w:r w:rsidR="00FD568C">
        <w:t xml:space="preserve"> this </w:t>
      </w:r>
      <w:r w:rsidR="00D653BB">
        <w:t xml:space="preserve">general </w:t>
      </w:r>
      <w:r w:rsidR="00FD568C">
        <w:t xml:space="preserve">approach but </w:t>
      </w:r>
      <w:r w:rsidR="00D653BB">
        <w:t xml:space="preserve">with a </w:t>
      </w:r>
      <w:r w:rsidR="00FD568C">
        <w:t>require</w:t>
      </w:r>
      <w:r w:rsidR="00D653BB">
        <w:t xml:space="preserve">ment </w:t>
      </w:r>
      <w:proofErr w:type="gramStart"/>
      <w:r w:rsidR="00D653BB">
        <w:t xml:space="preserve">for </w:t>
      </w:r>
      <w:r w:rsidR="00FD568C">
        <w:t xml:space="preserve"> pre</w:t>
      </w:r>
      <w:proofErr w:type="gramEnd"/>
      <w:r w:rsidR="00FD568C">
        <w:t>-market assessment of a more limited range of novel foods (including novel nutritive substances).</w:t>
      </w:r>
    </w:p>
    <w:p w14:paraId="3EEB01AD" w14:textId="77777777" w:rsidR="001E34FA" w:rsidRDefault="001E34FA" w:rsidP="00B963A5">
      <w:pPr>
        <w:pStyle w:val="Heading5"/>
      </w:pPr>
      <w:r>
        <w:t xml:space="preserve">Eligible </w:t>
      </w:r>
      <w:r w:rsidR="00443006">
        <w:t>f</w:t>
      </w:r>
      <w:r>
        <w:t xml:space="preserve">ood </w:t>
      </w:r>
      <w:r w:rsidR="00443006">
        <w:t>c</w:t>
      </w:r>
      <w:r>
        <w:t>riteria</w:t>
      </w:r>
    </w:p>
    <w:p w14:paraId="58AC31FF" w14:textId="254F4C92" w:rsidR="009810B9" w:rsidRDefault="00AD1DD3" w:rsidP="006C2FF9">
      <w:r>
        <w:t xml:space="preserve">One method of identifying foods that do not require regulatory approval is to establish criteria. </w:t>
      </w:r>
      <w:r w:rsidR="001E34FA">
        <w:t xml:space="preserve">FSANZ has developed </w:t>
      </w:r>
      <w:r>
        <w:t>a draft set of criteria f</w:t>
      </w:r>
      <w:r w:rsidR="001D7E16">
        <w:t>or discussion</w:t>
      </w:r>
      <w:r w:rsidR="00296923">
        <w:t xml:space="preserve"> based largely on the considerations of the NFRG and the ACNF over </w:t>
      </w:r>
      <w:r w:rsidR="00B179DE">
        <w:t>more than a decade</w:t>
      </w:r>
      <w:r w:rsidR="001D7E16">
        <w:t xml:space="preserve">. The </w:t>
      </w:r>
      <w:r w:rsidR="00936887">
        <w:t xml:space="preserve">draft set of </w:t>
      </w:r>
      <w:r w:rsidR="001D7E16">
        <w:t xml:space="preserve">criteria have been termed </w:t>
      </w:r>
      <w:r>
        <w:t xml:space="preserve">‘eligible food criteria’ (EFC). The EFC </w:t>
      </w:r>
      <w:r w:rsidR="006A4216">
        <w:t>c</w:t>
      </w:r>
      <w:r>
        <w:t xml:space="preserve">ould be </w:t>
      </w:r>
      <w:r w:rsidR="001E34FA">
        <w:t xml:space="preserve">an initial </w:t>
      </w:r>
      <w:r w:rsidR="00936887">
        <w:t xml:space="preserve">risk management measure under an alternative framework </w:t>
      </w:r>
      <w:r w:rsidR="001E34FA">
        <w:t xml:space="preserve">to ensure foods </w:t>
      </w:r>
      <w:r w:rsidR="00654854">
        <w:t xml:space="preserve">of unknown risk </w:t>
      </w:r>
      <w:r w:rsidR="001E34FA">
        <w:t>do not enter the food supply without appropriate pre-market asse</w:t>
      </w:r>
      <w:r w:rsidR="006A4216">
        <w:t xml:space="preserve">ssment while also ensuring that </w:t>
      </w:r>
      <w:r w:rsidR="00654854">
        <w:t xml:space="preserve">known </w:t>
      </w:r>
      <w:r w:rsidR="00BC02C5">
        <w:t>low risk</w:t>
      </w:r>
      <w:r w:rsidR="001E34FA">
        <w:t xml:space="preserve"> foods can be sold to consumers without undue regulatory requirements. In this context, the intent of the </w:t>
      </w:r>
      <w:r>
        <w:t>EFC</w:t>
      </w:r>
      <w:r w:rsidR="001E34FA">
        <w:t xml:space="preserve"> is the same as the current nutritive substance and novel food provisions in the Code. However, while the existing provisions rely on definitions to prohibit certain foods, the </w:t>
      </w:r>
      <w:r w:rsidR="00E56BB7">
        <w:t>EFC</w:t>
      </w:r>
      <w:r w:rsidR="001E34FA">
        <w:t xml:space="preserve"> would </w:t>
      </w:r>
      <w:r w:rsidR="009810B9">
        <w:t xml:space="preserve">more objectively </w:t>
      </w:r>
      <w:r w:rsidR="001E34FA">
        <w:t xml:space="preserve">identify foods that are permitted to be sold without regulatory pre-approval. </w:t>
      </w:r>
      <w:r w:rsidR="00936887">
        <w:t xml:space="preserve">The EFC identify microorganisms, whole foods, minimally processed whole foods, extracts and substances that are considered to be </w:t>
      </w:r>
      <w:r w:rsidR="004F0F26">
        <w:t xml:space="preserve">low </w:t>
      </w:r>
      <w:r w:rsidR="00936887">
        <w:t>risk.</w:t>
      </w:r>
    </w:p>
    <w:p w14:paraId="6106EFE8" w14:textId="77777777" w:rsidR="009810B9" w:rsidRDefault="009810B9" w:rsidP="001E34FA"/>
    <w:p w14:paraId="622E832D" w14:textId="56654714" w:rsidR="00936887" w:rsidRDefault="00936887" w:rsidP="00936887">
      <w:r>
        <w:t xml:space="preserve">Although the </w:t>
      </w:r>
      <w:r w:rsidR="00382579">
        <w:t>EFC</w:t>
      </w:r>
      <w:r>
        <w:t xml:space="preserve"> are intended to identify known low risk foods, food businesses are still required under the Food Acts to ensure that the food they intend to supply is safe. For compliance purposes the Code </w:t>
      </w:r>
      <w:r w:rsidR="00B179DE">
        <w:t>would need</w:t>
      </w:r>
      <w:r>
        <w:t xml:space="preserve"> to include specific record keeping requirements that food businesses would need to meet to support the safety of their eligible food.</w:t>
      </w:r>
      <w:r w:rsidRPr="00936887">
        <w:t xml:space="preserve"> </w:t>
      </w:r>
      <w:r>
        <w:t xml:space="preserve">For example, a history of safe consumption of the product in another country could be information that would help establish that an eligible food is safe for Australian and New Zealand </w:t>
      </w:r>
      <w:r w:rsidR="00D653BB">
        <w:t>consumers</w:t>
      </w:r>
      <w:r>
        <w:t xml:space="preserve">. </w:t>
      </w:r>
    </w:p>
    <w:p w14:paraId="2D6B44C4" w14:textId="77777777" w:rsidR="00936887" w:rsidRDefault="00936887" w:rsidP="001E34FA"/>
    <w:p w14:paraId="0739F0DE" w14:textId="77777777" w:rsidR="00E471EC" w:rsidRDefault="001E34FA" w:rsidP="00946D74">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The Code would list the </w:t>
      </w:r>
      <w:r w:rsidR="006A4216">
        <w:t>EFC</w:t>
      </w:r>
      <w:r>
        <w:t xml:space="preserve"> and include a provision that </w:t>
      </w:r>
      <w:r w:rsidR="00FD568C">
        <w:t xml:space="preserve">novel </w:t>
      </w:r>
      <w:r>
        <w:t xml:space="preserve">foods that meet any of the </w:t>
      </w:r>
      <w:r w:rsidR="006A4216">
        <w:t>EFC</w:t>
      </w:r>
      <w:r>
        <w:t xml:space="preserve"> can be sold in Australia and New Zealand without being subject to regulatory </w:t>
      </w:r>
      <w:r w:rsidR="00362B49">
        <w:t xml:space="preserve">pre-market assessment </w:t>
      </w:r>
      <w:r>
        <w:t xml:space="preserve">requirements </w:t>
      </w:r>
      <w:r w:rsidR="008A5495">
        <w:t xml:space="preserve">in the Code. </w:t>
      </w:r>
    </w:p>
    <w:p w14:paraId="54DA2A12" w14:textId="77777777" w:rsidR="00936887" w:rsidRDefault="00936887" w:rsidP="00946D74">
      <w:pPr>
        <w:pBdr>
          <w:top w:val="single" w:sz="4" w:space="1" w:color="auto"/>
          <w:left w:val="single" w:sz="4" w:space="4" w:color="auto"/>
          <w:bottom w:val="single" w:sz="4" w:space="1" w:color="auto"/>
          <w:right w:val="single" w:sz="4" w:space="4" w:color="auto"/>
        </w:pBdr>
        <w:shd w:val="clear" w:color="auto" w:fill="C6D9F1" w:themeFill="text2" w:themeFillTint="33"/>
      </w:pPr>
    </w:p>
    <w:p w14:paraId="508CE1EF" w14:textId="77777777" w:rsidR="00E471EC" w:rsidRDefault="00936887" w:rsidP="00216BB5">
      <w:pPr>
        <w:pBdr>
          <w:top w:val="single" w:sz="4" w:space="1" w:color="auto"/>
          <w:left w:val="single" w:sz="4" w:space="4" w:color="auto"/>
          <w:bottom w:val="single" w:sz="4" w:space="1" w:color="auto"/>
          <w:right w:val="single" w:sz="4" w:space="4" w:color="auto"/>
        </w:pBdr>
        <w:shd w:val="clear" w:color="auto" w:fill="C6D9F1" w:themeFill="text2" w:themeFillTint="33"/>
      </w:pPr>
      <w:r>
        <w:t xml:space="preserve">The Code would also include record keeping requirements that food businesses would need to meet to support the safety of an eligible food that is supplied for sale. Failure to hold these records would mean a food business would be supplying a food in contravention of the Code’s requirements. </w:t>
      </w:r>
    </w:p>
    <w:p w14:paraId="563B47A7" w14:textId="77777777" w:rsidR="00A30AD6" w:rsidRDefault="00A30AD6" w:rsidP="00AE6081">
      <w:pPr>
        <w:pStyle w:val="Heading5"/>
      </w:pPr>
      <w:r>
        <w:br w:type="page"/>
      </w:r>
    </w:p>
    <w:p w14:paraId="47C46F28" w14:textId="03184C7F" w:rsidR="00761005" w:rsidRDefault="00761005" w:rsidP="00AE6081">
      <w:pPr>
        <w:pStyle w:val="Heading5"/>
      </w:pPr>
      <w:r>
        <w:lastRenderedPageBreak/>
        <w:t xml:space="preserve">Exclusions to the </w:t>
      </w:r>
      <w:r w:rsidR="00382579">
        <w:t>EFC</w:t>
      </w:r>
    </w:p>
    <w:p w14:paraId="55E9297F" w14:textId="01C62199" w:rsidR="00AE6081" w:rsidRDefault="00761005" w:rsidP="001E34FA">
      <w:r>
        <w:t>Some</w:t>
      </w:r>
      <w:r w:rsidR="001E34FA">
        <w:t xml:space="preserve"> foods </w:t>
      </w:r>
      <w:r>
        <w:t xml:space="preserve">that </w:t>
      </w:r>
      <w:r w:rsidR="00AE6081">
        <w:t>would</w:t>
      </w:r>
      <w:r>
        <w:t xml:space="preserve"> otherwise meet the </w:t>
      </w:r>
      <w:r w:rsidR="00382579">
        <w:t xml:space="preserve">EFC </w:t>
      </w:r>
      <w:r>
        <w:t xml:space="preserve">may </w:t>
      </w:r>
      <w:r w:rsidR="001E34FA">
        <w:t>have characteristics that warrant pre-market assessment</w:t>
      </w:r>
      <w:r>
        <w:t xml:space="preserve">. </w:t>
      </w:r>
      <w:r w:rsidR="00385485">
        <w:t>For example, there</w:t>
      </w:r>
      <w:r w:rsidR="001E34FA">
        <w:t xml:space="preserve"> are foods that the ACN</w:t>
      </w:r>
      <w:r w:rsidR="00C44193">
        <w:t>F</w:t>
      </w:r>
      <w:r w:rsidR="00C44193" w:rsidRPr="00C44193">
        <w:t xml:space="preserve"> </w:t>
      </w:r>
      <w:r w:rsidR="003747C9">
        <w:t>has consistently identified as</w:t>
      </w:r>
      <w:r w:rsidR="00AE6081">
        <w:t>:</w:t>
      </w:r>
    </w:p>
    <w:p w14:paraId="6CE9D06A" w14:textId="77777777" w:rsidR="00AE6081" w:rsidRDefault="00AE6081" w:rsidP="001E34FA"/>
    <w:p w14:paraId="60ED6632" w14:textId="77777777" w:rsidR="00AE6081" w:rsidRDefault="001E34FA" w:rsidP="00AE6081">
      <w:pPr>
        <w:pStyle w:val="FSBullet"/>
      </w:pPr>
      <w:r>
        <w:t>requiring pre-market assessment to establish safety</w:t>
      </w:r>
      <w:r w:rsidR="00802775">
        <w:t xml:space="preserve"> (e.g. foods with purported weight loss and/or pharmacological properties)</w:t>
      </w:r>
      <w:r>
        <w:t xml:space="preserve">, </w:t>
      </w:r>
    </w:p>
    <w:p w14:paraId="0E767764" w14:textId="77777777" w:rsidR="00AE6081" w:rsidRDefault="001E34FA" w:rsidP="00AE6081">
      <w:pPr>
        <w:pStyle w:val="FSBullet"/>
      </w:pPr>
      <w:r>
        <w:t>hav</w:t>
      </w:r>
      <w:r w:rsidR="00C44193">
        <w:t>ing</w:t>
      </w:r>
      <w:r>
        <w:t xml:space="preserve"> the potential for adverse effects if consumed by non-target population sub-groups</w:t>
      </w:r>
      <w:r w:rsidR="00802775">
        <w:t xml:space="preserve"> (e.g. children, pregnant and lactating women, elderly, immunocompromised)</w:t>
      </w:r>
      <w:r w:rsidR="00AE6081">
        <w:t>,</w:t>
      </w:r>
      <w:r>
        <w:t xml:space="preserve"> and/or </w:t>
      </w:r>
    </w:p>
    <w:p w14:paraId="71CEE807" w14:textId="77777777" w:rsidR="00AE6081" w:rsidRDefault="00C44193" w:rsidP="00AE6081">
      <w:pPr>
        <w:pStyle w:val="FSBullet"/>
      </w:pPr>
      <w:proofErr w:type="gramStart"/>
      <w:r>
        <w:t>being</w:t>
      </w:r>
      <w:proofErr w:type="gramEnd"/>
      <w:r>
        <w:t xml:space="preserve"> </w:t>
      </w:r>
      <w:r w:rsidR="001E34FA">
        <w:t>a segment of the market prone to misuse by certain suppliers</w:t>
      </w:r>
      <w:r w:rsidR="00802775">
        <w:t xml:space="preserve"> (e.g. foods marketed as weight loss products have been observed to contain illegally added prescription medicines)</w:t>
      </w:r>
      <w:r w:rsidR="001E34FA">
        <w:t xml:space="preserve">. </w:t>
      </w:r>
    </w:p>
    <w:p w14:paraId="29A8574B" w14:textId="77777777" w:rsidR="00AE6081" w:rsidRDefault="00AE6081" w:rsidP="00AE6081">
      <w:pPr>
        <w:pStyle w:val="FSBullet"/>
        <w:numPr>
          <w:ilvl w:val="0"/>
          <w:numId w:val="0"/>
        </w:numPr>
      </w:pPr>
    </w:p>
    <w:p w14:paraId="3A29B0BD" w14:textId="79FD8BF5" w:rsidR="001E34FA" w:rsidRPr="001D0D9B" w:rsidRDefault="001E34FA" w:rsidP="00AE6081">
      <w:r w:rsidRPr="001D0D9B">
        <w:t xml:space="preserve">On this basis, FSANZ has developed exclusions to the </w:t>
      </w:r>
      <w:r w:rsidR="00382579">
        <w:t>EFC</w:t>
      </w:r>
      <w:r w:rsidRPr="001D0D9B">
        <w:t xml:space="preserve">. </w:t>
      </w:r>
      <w:r w:rsidR="00761005" w:rsidRPr="001D0D9B">
        <w:t>These</w:t>
      </w:r>
      <w:r w:rsidRPr="001D0D9B">
        <w:t xml:space="preserve"> foods must undergo pre-market assessment </w:t>
      </w:r>
      <w:r w:rsidR="00761005" w:rsidRPr="001D0D9B">
        <w:t>along</w:t>
      </w:r>
      <w:r w:rsidRPr="001D0D9B">
        <w:t xml:space="preserve"> the potentia</w:t>
      </w:r>
      <w:r w:rsidR="00A81D31">
        <w:t>l pathways described in section </w:t>
      </w:r>
      <w:r w:rsidR="00A30AD6">
        <w:t>4</w:t>
      </w:r>
      <w:r w:rsidRPr="001D0D9B">
        <w:t>.</w:t>
      </w:r>
      <w:r w:rsidR="00936887">
        <w:t>2.</w:t>
      </w:r>
      <w:r w:rsidRPr="001D0D9B">
        <w:t>3.2</w:t>
      </w:r>
      <w:r w:rsidR="00320A48" w:rsidRPr="001D0D9B">
        <w:t xml:space="preserve"> even if they would otherwise meet the </w:t>
      </w:r>
      <w:r w:rsidR="00382579">
        <w:t>EFC</w:t>
      </w:r>
      <w:r w:rsidRPr="001D0D9B">
        <w:t xml:space="preserve">. </w:t>
      </w:r>
    </w:p>
    <w:p w14:paraId="20E34275" w14:textId="77777777" w:rsidR="00936887" w:rsidRDefault="00936887" w:rsidP="001E34FA"/>
    <w:p w14:paraId="497947E3" w14:textId="77777777" w:rsidR="00FB7D43" w:rsidRPr="006F0ECF"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rPr>
          <w:b/>
        </w:rPr>
      </w:pPr>
      <w:bookmarkStart w:id="41" w:name="_Toc393445365"/>
      <w:r w:rsidRPr="006F0ECF">
        <w:rPr>
          <w:b/>
        </w:rPr>
        <w:t>Questions:</w:t>
      </w:r>
    </w:p>
    <w:p w14:paraId="4CC7B0F2"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p>
    <w:p w14:paraId="23DC19D2"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Are the EFC appropriate for identifying foods that do not need regulatory approval? </w:t>
      </w:r>
    </w:p>
    <w:p w14:paraId="4DD741F7"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p>
    <w:p w14:paraId="560A6ECE"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Are there foods that may meet the EFC that you consider should be subject to pre-market assessment? If so, please describe the properties of these foods. </w:t>
      </w:r>
    </w:p>
    <w:p w14:paraId="6949B903"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p>
    <w:p w14:paraId="4C4BA2AC" w14:textId="48563270"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Are there foods that would not meet the </w:t>
      </w:r>
      <w:r w:rsidR="00382579">
        <w:t>EFC</w:t>
      </w:r>
      <w:r>
        <w:t xml:space="preserve">, but you consider should be eligible? If so, please describe the properties of these foods. </w:t>
      </w:r>
    </w:p>
    <w:p w14:paraId="0CAC809F"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p>
    <w:p w14:paraId="50CF08F6" w14:textId="1A147DAD"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r>
        <w:t>What type of information should be held by food businesses to support the safety of eligible foods? Please describe the type of information and why this would support safety.</w:t>
      </w:r>
    </w:p>
    <w:p w14:paraId="31979DDC"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p>
    <w:p w14:paraId="208FC841"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r>
        <w:t xml:space="preserve">Are the exclusions to the EFC appropriate in identifying foods that should be subject to pre-market assessment, despite otherwise meeting the EFC? </w:t>
      </w:r>
    </w:p>
    <w:p w14:paraId="47023C74"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p>
    <w:p w14:paraId="3BD61BFC" w14:textId="77777777" w:rsidR="00FB7D43" w:rsidRDefault="00FB7D43" w:rsidP="00FB7D43">
      <w:pPr>
        <w:pBdr>
          <w:top w:val="single" w:sz="4" w:space="1" w:color="auto"/>
          <w:left w:val="single" w:sz="4" w:space="4" w:color="auto"/>
          <w:bottom w:val="single" w:sz="4" w:space="1" w:color="auto"/>
          <w:right w:val="single" w:sz="4" w:space="4" w:color="auto"/>
        </w:pBdr>
        <w:shd w:val="clear" w:color="auto" w:fill="EAF1DD" w:themeFill="accent3" w:themeFillTint="33"/>
      </w:pPr>
      <w:r>
        <w:t>What do you consider would constitute a ‘reasonable potential’ for a food to have pharmacological effects at the intended levels of consumption? See SD3 for discussion on this issue.</w:t>
      </w:r>
    </w:p>
    <w:p w14:paraId="1FFC7754" w14:textId="690AC6DB" w:rsidR="001E34FA" w:rsidRDefault="00A30AD6" w:rsidP="000D0DA9">
      <w:pPr>
        <w:pStyle w:val="Heading3"/>
      </w:pPr>
      <w:bookmarkStart w:id="42" w:name="_Toc436754828"/>
      <w:r>
        <w:t>4</w:t>
      </w:r>
      <w:r w:rsidR="00F15274">
        <w:t>.2</w:t>
      </w:r>
      <w:r w:rsidR="001E34FA">
        <w:t>.3.2</w:t>
      </w:r>
      <w:r w:rsidR="001E34FA">
        <w:tab/>
        <w:t xml:space="preserve">Pathways for market entry of foods not meeting the </w:t>
      </w:r>
      <w:bookmarkEnd w:id="41"/>
      <w:r w:rsidR="00382579">
        <w:t>EFC</w:t>
      </w:r>
      <w:bookmarkEnd w:id="42"/>
    </w:p>
    <w:p w14:paraId="337A90C2" w14:textId="125D55D7" w:rsidR="004D6821" w:rsidRDefault="00F15274" w:rsidP="00C60739">
      <w:r>
        <w:t>Under FSANZ’s draft framework, f</w:t>
      </w:r>
      <w:r w:rsidR="001E34FA">
        <w:t xml:space="preserve">oods that do not meet any of the </w:t>
      </w:r>
      <w:r w:rsidR="00382579">
        <w:t>EFC</w:t>
      </w:r>
      <w:r w:rsidR="001E34FA">
        <w:t xml:space="preserve"> </w:t>
      </w:r>
      <w:r w:rsidR="00F83AD6">
        <w:t xml:space="preserve">would </w:t>
      </w:r>
      <w:r w:rsidR="001E34FA">
        <w:t xml:space="preserve">be subject to </w:t>
      </w:r>
      <w:r w:rsidR="00E85FD9">
        <w:t xml:space="preserve">more extensive </w:t>
      </w:r>
      <w:r w:rsidR="001E34FA">
        <w:t xml:space="preserve">pre-market assessment </w:t>
      </w:r>
      <w:r w:rsidR="00FB7D43">
        <w:t xml:space="preserve">than eligible foods </w:t>
      </w:r>
      <w:r w:rsidR="001E34FA">
        <w:t xml:space="preserve">before they </w:t>
      </w:r>
      <w:r w:rsidR="00F83AD6">
        <w:t xml:space="preserve">could </w:t>
      </w:r>
      <w:r w:rsidR="001E34FA">
        <w:t xml:space="preserve">be sold in Australia and New Zealand. FSANZ has </w:t>
      </w:r>
      <w:r w:rsidR="002A5E9E">
        <w:t>consider</w:t>
      </w:r>
      <w:r w:rsidR="002039F1">
        <w:t>ed</w:t>
      </w:r>
      <w:r w:rsidR="002A5E9E">
        <w:t xml:space="preserve"> whether</w:t>
      </w:r>
      <w:r w:rsidR="001E34FA">
        <w:t xml:space="preserve"> an industry self-assessment pathway</w:t>
      </w:r>
      <w:r w:rsidR="002A5E9E">
        <w:t xml:space="preserve"> may be viable for these foods</w:t>
      </w:r>
      <w:r w:rsidR="00E85FD9">
        <w:t xml:space="preserve">, or for </w:t>
      </w:r>
      <w:r w:rsidR="00761005">
        <w:t xml:space="preserve">at least </w:t>
      </w:r>
      <w:r w:rsidR="00E85FD9">
        <w:t xml:space="preserve">a subset of these foods. </w:t>
      </w:r>
    </w:p>
    <w:p w14:paraId="001021A5" w14:textId="77777777" w:rsidR="00223545" w:rsidRDefault="00223545" w:rsidP="00F15274">
      <w:pPr>
        <w:pStyle w:val="Heading5"/>
      </w:pPr>
      <w:r>
        <w:t>Industry self-assessment</w:t>
      </w:r>
    </w:p>
    <w:p w14:paraId="05E76F24" w14:textId="77777777" w:rsidR="00BF6E77" w:rsidRDefault="001E34FA" w:rsidP="001E34FA">
      <w:r>
        <w:t xml:space="preserve">At present, </w:t>
      </w:r>
      <w:r w:rsidR="00BF6E77">
        <w:t xml:space="preserve">all </w:t>
      </w:r>
      <w:r>
        <w:t xml:space="preserve">nutritive substances and novel foods must be assessed and approved by FSANZ before they can be sold. </w:t>
      </w:r>
      <w:r w:rsidR="00BF6E77">
        <w:t>An industry self-assessment pathway may provide industry with greater control over time to market for new foods and timing of the release of proprietary information relevant to establishing safety than is currently afforded by the FSANZ pre-approval assessment process.</w:t>
      </w:r>
    </w:p>
    <w:p w14:paraId="1A9F7466" w14:textId="77777777" w:rsidR="00BF6E77" w:rsidRDefault="00BF6E77" w:rsidP="001E34FA"/>
    <w:p w14:paraId="4CA73846" w14:textId="6AEC41E3" w:rsidR="00A30AD6" w:rsidRDefault="00A30AD6" w:rsidP="001E34FA">
      <w:r>
        <w:br w:type="page"/>
      </w:r>
    </w:p>
    <w:p w14:paraId="724136A6" w14:textId="68D7DE61" w:rsidR="00BF6E77" w:rsidRDefault="00BF6E77" w:rsidP="001E34FA">
      <w:r>
        <w:lastRenderedPageBreak/>
        <w:t>As part of a framework for industry self-assessment, FSANZ considers ‘non-eligible foods’ should be subject to ‘gateway tests’ to determine an appro</w:t>
      </w:r>
      <w:r w:rsidR="00D653BB">
        <w:t>priate assessment pathway, i.e.</w:t>
      </w:r>
      <w:r>
        <w:t xml:space="preserve"> industry self-assessment or assessment by FSANZ (discussed below in </w:t>
      </w:r>
      <w:r w:rsidRPr="001D0D9B">
        <w:t xml:space="preserve">section </w:t>
      </w:r>
      <w:r w:rsidR="00A30AD6">
        <w:t>4</w:t>
      </w:r>
      <w:r>
        <w:t>.2</w:t>
      </w:r>
      <w:r w:rsidRPr="001D0D9B">
        <w:t>.3.</w:t>
      </w:r>
      <w:r>
        <w:t>4</w:t>
      </w:r>
      <w:r w:rsidRPr="001D0D9B">
        <w:t>).</w:t>
      </w:r>
      <w:r w:rsidR="00EC2654">
        <w:t xml:space="preserve"> Appropriate gateway tests will need to be developed if this draft framework is to be progressed. However, it is possible the scope of foods that could progress down the industry self-assessment pathway would be narrow at first, with the potential to broaden the scope after further consideration, either as part of this proposal or after the implementation of a future standard in the Code.</w:t>
      </w:r>
    </w:p>
    <w:p w14:paraId="4ADA84E5" w14:textId="77777777" w:rsidR="00BF6E77" w:rsidRDefault="00BF6E77" w:rsidP="001E34FA"/>
    <w:p w14:paraId="3C291FEE" w14:textId="3D7AD034" w:rsidR="001E34FA" w:rsidRPr="00216BB5" w:rsidRDefault="00EC2654" w:rsidP="001E34FA">
      <w:pPr>
        <w:rPr>
          <w:rFonts w:cstheme="minorBidi"/>
          <w:szCs w:val="22"/>
        </w:rPr>
      </w:pPr>
      <w:r>
        <w:t>T</w:t>
      </w:r>
      <w:r w:rsidR="00FA01D1">
        <w:t>here may be concern that a</w:t>
      </w:r>
      <w:r w:rsidR="00216BB5">
        <w:t>n industry</w:t>
      </w:r>
      <w:r w:rsidR="007037E6">
        <w:t xml:space="preserve"> pre-market assessment</w:t>
      </w:r>
      <w:r w:rsidR="00FA01D1">
        <w:t xml:space="preserve"> </w:t>
      </w:r>
      <w:r w:rsidR="00B50218">
        <w:t>pathway</w:t>
      </w:r>
      <w:r w:rsidR="00FA01D1">
        <w:t xml:space="preserve"> without any transparency a</w:t>
      </w:r>
      <w:r w:rsidR="007037E6">
        <w:t>nd reduced regulatory oversight</w:t>
      </w:r>
      <w:r w:rsidR="00FA01D1">
        <w:t xml:space="preserve"> </w:t>
      </w:r>
      <w:r w:rsidR="007037E6">
        <w:t xml:space="preserve">will reduce confidence in the safety of new foods supplied on the market. </w:t>
      </w:r>
      <w:r w:rsidR="00BF6E77">
        <w:t>Therefore,</w:t>
      </w:r>
      <w:r>
        <w:t xml:space="preserve"> the draft framework includes a condition that self-assessment would involve the preparation of a dossier by a food business that supplies the non-eligible food. FSANZ also considers that dossiers should be made public to ensure public accountability and confidence. This could be achieved by the food business submitting the dossier to food regulators</w:t>
      </w:r>
      <w:r w:rsidR="00084A2A">
        <w:t>/authorities</w:t>
      </w:r>
      <w:r>
        <w:t>, who then publish the dossier online. More detail on the content and publishing of d</w:t>
      </w:r>
      <w:r w:rsidR="00A30AD6">
        <w:t>ossiers is provided in section 4</w:t>
      </w:r>
      <w:r>
        <w:t xml:space="preserve">.2.3.3. </w:t>
      </w:r>
    </w:p>
    <w:p w14:paraId="10BAC608" w14:textId="77777777" w:rsidR="001E34FA" w:rsidRPr="00A02DC1" w:rsidRDefault="001E34FA" w:rsidP="001E34FA">
      <w:pPr>
        <w:rPr>
          <w:highlight w:val="yellow"/>
        </w:rPr>
      </w:pPr>
    </w:p>
    <w:p w14:paraId="684BC8D7" w14:textId="77777777" w:rsidR="00333B73" w:rsidRDefault="0055185D" w:rsidP="001E34FA">
      <w:r>
        <w:t>In summary,</w:t>
      </w:r>
      <w:r w:rsidR="00333B73">
        <w:t xml:space="preserve"> a self-assessment pathway to market for a non-eligible food could operate </w:t>
      </w:r>
      <w:r w:rsidR="006B0465">
        <w:t xml:space="preserve">according to </w:t>
      </w:r>
      <w:r w:rsidR="00333B73">
        <w:t xml:space="preserve">the following </w:t>
      </w:r>
      <w:r w:rsidR="006B0465">
        <w:t>process</w:t>
      </w:r>
      <w:r w:rsidR="00333B73">
        <w:t>:</w:t>
      </w:r>
    </w:p>
    <w:p w14:paraId="3E64D931" w14:textId="77777777" w:rsidR="00333B73" w:rsidRDefault="00333B73" w:rsidP="00720927">
      <w:pPr>
        <w:ind w:left="567" w:hanging="567"/>
      </w:pPr>
    </w:p>
    <w:p w14:paraId="3DECF4A8" w14:textId="77777777" w:rsidR="00333B73" w:rsidRDefault="00B77030" w:rsidP="00720927">
      <w:pPr>
        <w:pStyle w:val="ListParagraph"/>
        <w:numPr>
          <w:ilvl w:val="0"/>
          <w:numId w:val="9"/>
        </w:numPr>
        <w:ind w:left="567" w:hanging="567"/>
      </w:pPr>
      <w:r>
        <w:t>T</w:t>
      </w:r>
      <w:r w:rsidR="00333B73">
        <w:t>he food</w:t>
      </w:r>
      <w:r w:rsidR="001E34FA">
        <w:t xml:space="preserve"> meets a gateway test and is</w:t>
      </w:r>
      <w:r w:rsidR="00333B73">
        <w:t xml:space="preserve"> therefore </w:t>
      </w:r>
      <w:r w:rsidR="001E34FA">
        <w:t>suitable for self-assessment by a food business</w:t>
      </w:r>
    </w:p>
    <w:p w14:paraId="4672B24A" w14:textId="77777777" w:rsidR="00333B73" w:rsidRDefault="00333B73" w:rsidP="00720927">
      <w:pPr>
        <w:ind w:left="567" w:hanging="567"/>
      </w:pPr>
    </w:p>
    <w:p w14:paraId="392E91E2" w14:textId="77777777" w:rsidR="00333B73" w:rsidRDefault="00B77030" w:rsidP="00720927">
      <w:pPr>
        <w:pStyle w:val="ListParagraph"/>
        <w:numPr>
          <w:ilvl w:val="0"/>
          <w:numId w:val="9"/>
        </w:numPr>
        <w:ind w:left="567" w:hanging="567"/>
      </w:pPr>
      <w:r>
        <w:t>T</w:t>
      </w:r>
      <w:r w:rsidR="001E34FA">
        <w:t>he food business</w:t>
      </w:r>
      <w:r w:rsidR="00CE04B6">
        <w:rPr>
          <w:rStyle w:val="FootnoteReference"/>
        </w:rPr>
        <w:footnoteReference w:id="9"/>
      </w:r>
      <w:r w:rsidR="001E34FA">
        <w:t xml:space="preserve"> </w:t>
      </w:r>
      <w:r w:rsidR="00333B73">
        <w:t xml:space="preserve">establishes the food as safe for consumption at the intended levels of use (subject to the </w:t>
      </w:r>
      <w:r w:rsidR="001E34FA">
        <w:t xml:space="preserve">data and assessment requirements </w:t>
      </w:r>
      <w:r w:rsidR="00333B73">
        <w:t>in the Code and guidelines)</w:t>
      </w:r>
    </w:p>
    <w:p w14:paraId="4A9F4C24" w14:textId="77777777" w:rsidR="00333B73" w:rsidRDefault="00333B73" w:rsidP="00720927">
      <w:pPr>
        <w:ind w:left="567" w:hanging="567"/>
      </w:pPr>
    </w:p>
    <w:p w14:paraId="5C38CE07" w14:textId="67324708" w:rsidR="00333B73" w:rsidRDefault="00B77030" w:rsidP="00720927">
      <w:pPr>
        <w:pStyle w:val="ListParagraph"/>
        <w:numPr>
          <w:ilvl w:val="0"/>
          <w:numId w:val="9"/>
        </w:numPr>
        <w:ind w:left="567" w:hanging="567"/>
      </w:pPr>
      <w:r>
        <w:t>T</w:t>
      </w:r>
      <w:r w:rsidR="00333B73">
        <w:t xml:space="preserve">he food business notifies </w:t>
      </w:r>
      <w:r w:rsidR="000C38DE">
        <w:t>food regulators/authorities</w:t>
      </w:r>
      <w:r w:rsidR="00333B73">
        <w:t xml:space="preserve"> of its intention to market the food and submits a dossier</w:t>
      </w:r>
      <w:r w:rsidR="00EC2654">
        <w:t xml:space="preserve"> which is published online (dossi</w:t>
      </w:r>
      <w:r w:rsidR="00A81D31">
        <w:t>er details discussed in section </w:t>
      </w:r>
      <w:r w:rsidR="00A30AD6">
        <w:t>4</w:t>
      </w:r>
      <w:r w:rsidR="00EC2654">
        <w:t>.2.3.3)</w:t>
      </w:r>
    </w:p>
    <w:p w14:paraId="0A44D14A" w14:textId="77777777" w:rsidR="00CE04B6" w:rsidRDefault="00CE04B6" w:rsidP="00720927">
      <w:pPr>
        <w:ind w:left="567" w:hanging="567"/>
      </w:pPr>
    </w:p>
    <w:p w14:paraId="4ABC3750" w14:textId="1441D3BA" w:rsidR="00BF6E77" w:rsidRDefault="00CE04B6" w:rsidP="00BF6E77">
      <w:pPr>
        <w:pStyle w:val="ListParagraph"/>
        <w:numPr>
          <w:ilvl w:val="0"/>
          <w:numId w:val="9"/>
        </w:numPr>
        <w:ind w:left="567" w:hanging="567"/>
      </w:pPr>
      <w:r>
        <w:t xml:space="preserve">The food business markets / supplies the food to consumers or to food manufacturers who may use the food as an ingredient in processed foods. </w:t>
      </w:r>
    </w:p>
    <w:p w14:paraId="31A2E216" w14:textId="0A64106B" w:rsidR="00D24708" w:rsidRDefault="00A30AD6" w:rsidP="000D0DA9">
      <w:pPr>
        <w:pStyle w:val="Heading3"/>
      </w:pPr>
      <w:bookmarkStart w:id="43" w:name="_Toc436754829"/>
      <w:r>
        <w:t>4</w:t>
      </w:r>
      <w:r w:rsidR="00782309">
        <w:t>.2.</w:t>
      </w:r>
      <w:r w:rsidR="00D24708">
        <w:t>3.3</w:t>
      </w:r>
      <w:r w:rsidR="00D24708">
        <w:tab/>
        <w:t>Data and dossier requirements</w:t>
      </w:r>
      <w:bookmarkEnd w:id="43"/>
    </w:p>
    <w:p w14:paraId="50C840A8" w14:textId="77777777" w:rsidR="000C38DE" w:rsidRPr="00D24708" w:rsidRDefault="00D24708" w:rsidP="00BF6E77">
      <w:pPr>
        <w:pStyle w:val="Heading5"/>
      </w:pPr>
      <w:r>
        <w:t>Content of dossiers</w:t>
      </w:r>
    </w:p>
    <w:p w14:paraId="2D653EA1" w14:textId="77777777" w:rsidR="00782309" w:rsidRDefault="00407692" w:rsidP="00797FCC">
      <w:r>
        <w:t>FSANZ expects the requirements for dossiers establishing the safety of foods would be similar to those for applications submitted to FSANZ for approval of foods. In addition, the analysis and weighing up of data should also result in an outcome that would be consistent with a FSANZ (or other expert body) assessment, including consideration of risk management measures that may be required (such as preparation instructions or other labelling considerations). Dossiers would need to evaluate the safety of the food in the context of its intended use in foods, including levels of use and the type of foods it may be added to.</w:t>
      </w:r>
    </w:p>
    <w:p w14:paraId="202078E9" w14:textId="77777777" w:rsidR="00782309" w:rsidRDefault="00782309" w:rsidP="00797FCC"/>
    <w:p w14:paraId="753FCE87" w14:textId="77777777" w:rsidR="00A30AD6" w:rsidRDefault="00407692" w:rsidP="00333B73">
      <w:r>
        <w:t>In order for an industry self-assessment process to work effectively, the data and assessment requirements would need to be clearly set out in the Code, with guidance material supporting these requirements.</w:t>
      </w:r>
      <w:r w:rsidRPr="00407692">
        <w:t xml:space="preserve"> </w:t>
      </w:r>
      <w:r w:rsidR="00A30AD6">
        <w:br w:type="page"/>
      </w:r>
    </w:p>
    <w:p w14:paraId="18CB54FE" w14:textId="3020CC06" w:rsidR="00DE7505" w:rsidRDefault="00407692" w:rsidP="00333B73">
      <w:r>
        <w:lastRenderedPageBreak/>
        <w:t xml:space="preserve">These requirements would need to be clear so that industry can effectively assess the safety of applicable ‘non-eligible’ foods, food enforcement agencies can assess the dossiers for compliance, and consumers are satisfied that an appropriate process is in place to ensure the safety of foods supplied in the Australian and New Zealand markets. More detail on this process will be developed as part of this proposal if </w:t>
      </w:r>
      <w:r w:rsidR="006F1173">
        <w:t>the</w:t>
      </w:r>
      <w:r>
        <w:t xml:space="preserve"> draft framework, or elements of it, is supported.</w:t>
      </w:r>
    </w:p>
    <w:p w14:paraId="4B885FA7" w14:textId="77777777" w:rsidR="00B50218" w:rsidRDefault="00B50218" w:rsidP="00333B73"/>
    <w:p w14:paraId="49CA592B" w14:textId="1E979F11" w:rsidR="00FB4430" w:rsidRDefault="00B50218" w:rsidP="00333B73">
      <w:r>
        <w:t>T</w:t>
      </w:r>
      <w:r w:rsidRPr="000D6E5E">
        <w:t xml:space="preserve">he type of food business that will need to develop a dossier and notify food regulators/authorities will vary. </w:t>
      </w:r>
      <w:r>
        <w:t xml:space="preserve">Ingredient manufacturers may prepare and submit a dossier for the safety of their ingredient. A final food manufacturer using the new ingredient in their final food would not need to prepare a dossier if the use of the ingredient was consistent with the data in the dossier prepared by the ingredient manufacturer. The final food manufacturer would need to verify the use of the ingredient in the final processed food product complies with the parameters assessed in the dossier (such as </w:t>
      </w:r>
      <w:r w:rsidRPr="000D6E5E">
        <w:t>levels of use and any risk management measures that may be appropriate)</w:t>
      </w:r>
      <w:r>
        <w:t xml:space="preserve">. </w:t>
      </w:r>
      <w:r w:rsidR="00FB4430" w:rsidRPr="000D6E5E">
        <w:t xml:space="preserve">This would be similar for retailers of final processed food products. The retailer would need to have </w:t>
      </w:r>
      <w:r w:rsidR="00EB7865">
        <w:t>assurance</w:t>
      </w:r>
      <w:r w:rsidR="00EB7865" w:rsidRPr="000D6E5E">
        <w:t xml:space="preserve"> </w:t>
      </w:r>
      <w:r w:rsidR="00FB4430" w:rsidRPr="000D6E5E">
        <w:t>that compliance and verification with the Code has been established by the ingredient manufacturer. The detail of dossier requirements, including notification, will be developed if the gra</w:t>
      </w:r>
      <w:r w:rsidR="00FB4430">
        <w:t>duated risk approach proceeds.</w:t>
      </w:r>
    </w:p>
    <w:p w14:paraId="72CB95BE" w14:textId="77777777" w:rsidR="004E33B6" w:rsidRDefault="00D24708" w:rsidP="00BF6E77">
      <w:pPr>
        <w:pStyle w:val="Heading5"/>
      </w:pPr>
      <w:r>
        <w:t>Publication of dossiers</w:t>
      </w:r>
    </w:p>
    <w:p w14:paraId="073C9309" w14:textId="77777777" w:rsidR="00D24708" w:rsidRDefault="00D24708" w:rsidP="00333B73">
      <w:r>
        <w:t xml:space="preserve">FSANZ considers it may be necessary for submitted dossiers to be published online </w:t>
      </w:r>
      <w:r w:rsidR="00407692">
        <w:t xml:space="preserve">to </w:t>
      </w:r>
      <w:r>
        <w:t>provide an element of transparency</w:t>
      </w:r>
      <w:r w:rsidR="00407692">
        <w:t xml:space="preserve">, </w:t>
      </w:r>
      <w:r>
        <w:t xml:space="preserve">public accountability </w:t>
      </w:r>
      <w:r w:rsidR="00407692">
        <w:t>and</w:t>
      </w:r>
      <w:r>
        <w:t xml:space="preserve"> a level of assurance for consumers and consumer groups that food being supplied for sale is safe. This dossier submission and publication process would mean that some proprietary information will be publicly available. However, unlike the FSANZ assessment process, the timing of the release of this information would be controlled by the food business and could be timed to coincide with the release of the product, rather than being foreshadowed before the marketing of the product (once approved by FSANZ). Consideration would need to be given to providing an option for confidential commercial information to be made available only to food regulators/authorities, rather than being included in the publicly available dossier. </w:t>
      </w:r>
    </w:p>
    <w:p w14:paraId="39E1813C" w14:textId="77777777" w:rsidR="003A4C84" w:rsidRDefault="003A4C84" w:rsidP="003A4C84"/>
    <w:p w14:paraId="1B27A0C8" w14:textId="77777777" w:rsidR="00B46048" w:rsidRDefault="00E97418" w:rsidP="000D63FB">
      <w:r>
        <w:t xml:space="preserve">The notification and submission of a dossier under the self-assessment pathway outlined above would not constitute an application to amend the Code. The outcome of the food business submitting the dossier is that the dossier is published and the food can be supplied. The dossier would not be assessed by FSANZ and no change to the Code would result from the submission. Food enforcement agencies could choose to take action if they consider a dossier does not meet the assessment requirements set out in the Code. </w:t>
      </w:r>
    </w:p>
    <w:p w14:paraId="46171AD4" w14:textId="632B26CB" w:rsidR="00CD3479" w:rsidRDefault="00DA3635" w:rsidP="00A30AD6">
      <w:pPr>
        <w:pStyle w:val="Heading5"/>
      </w:pPr>
      <w:r>
        <w:t>Implementation and compliance</w:t>
      </w:r>
    </w:p>
    <w:p w14:paraId="16CD6BFE" w14:textId="4FCB8355" w:rsidR="000D63FB" w:rsidRDefault="00BC1122" w:rsidP="00333B73">
      <w:r>
        <w:t xml:space="preserve">Food enforcement agencies would be responsible for enforcing the requirements set out in the Code for foods that are self-assessed and for which dossiers have been submitted for publication. </w:t>
      </w:r>
      <w:r w:rsidR="000D63FB">
        <w:t>The assessment of dossiers in an enforcement context will require an element of knowledge and training for enforcement officers. However, enforcement will be simplified for eligible and non-eligible foods that are supplied without the food business holding sufficient records (for eligible foods) or preparing and notifying a dossier (non-eligible foods) because these situations would not be compliant with the Code’s requirements for the supply of self-assessed foods.</w:t>
      </w:r>
    </w:p>
    <w:p w14:paraId="61B4A1B3" w14:textId="77777777" w:rsidR="00D4613E" w:rsidRDefault="00D4613E" w:rsidP="00333B73"/>
    <w:p w14:paraId="378AB2C8" w14:textId="77777777" w:rsidR="00A30AD6" w:rsidRDefault="00B72319" w:rsidP="00333B73">
      <w:r>
        <w:t>The</w:t>
      </w:r>
      <w:r w:rsidR="00D4613E">
        <w:t xml:space="preserve"> co-ordinati</w:t>
      </w:r>
      <w:r>
        <w:t>o</w:t>
      </w:r>
      <w:r w:rsidR="00D4613E">
        <w:t>n</w:t>
      </w:r>
      <w:r>
        <w:t xml:space="preserve"> of</w:t>
      </w:r>
      <w:r w:rsidR="00D4613E">
        <w:t xml:space="preserve"> the dossier submission</w:t>
      </w:r>
      <w:r w:rsidR="00915E20">
        <w:t xml:space="preserve"> process as well as the determination of compliance and consideration of appropriate evaluation measures </w:t>
      </w:r>
      <w:r>
        <w:t xml:space="preserve">will be addressed at the second </w:t>
      </w:r>
      <w:r w:rsidR="00833EA9">
        <w:t>call for submissions</w:t>
      </w:r>
      <w:r w:rsidR="00D4613E">
        <w:t xml:space="preserve">. </w:t>
      </w:r>
      <w:r w:rsidR="00A30AD6">
        <w:br w:type="page"/>
      </w:r>
    </w:p>
    <w:p w14:paraId="69AC333B" w14:textId="375AF58B" w:rsidR="00D4613E" w:rsidRDefault="00D4613E" w:rsidP="00333B73">
      <w:r>
        <w:lastRenderedPageBreak/>
        <w:t>The effectiveness of a self-assessment process w</w:t>
      </w:r>
      <w:r w:rsidR="00B72319">
        <w:t>ill</w:t>
      </w:r>
      <w:r>
        <w:t xml:space="preserve"> also need to be monitored</w:t>
      </w:r>
      <w:r w:rsidR="00B72319">
        <w:t xml:space="preserve"> post-implementation</w:t>
      </w:r>
      <w:r>
        <w:t>, to assess whether the Code’s requirements and guidance material are effective or require refinement.</w:t>
      </w:r>
    </w:p>
    <w:p w14:paraId="0E364B28" w14:textId="77777777" w:rsidR="001D0D9B" w:rsidRDefault="001D0D9B" w:rsidP="00E1484D">
      <w:pPr>
        <w:keepNext/>
        <w:keepLines/>
      </w:pPr>
    </w:p>
    <w:p w14:paraId="53EE0683" w14:textId="77777777" w:rsidR="001D0D9B" w:rsidRPr="003D597E" w:rsidRDefault="00720927" w:rsidP="00E1484D">
      <w:pPr>
        <w:keepNext/>
        <w:keepLines/>
        <w:pBdr>
          <w:top w:val="single" w:sz="4" w:space="1" w:color="auto"/>
          <w:left w:val="single" w:sz="4" w:space="4" w:color="auto"/>
          <w:right w:val="single" w:sz="4" w:space="4" w:color="auto"/>
        </w:pBdr>
        <w:shd w:val="clear" w:color="auto" w:fill="EAF1DD" w:themeFill="accent3" w:themeFillTint="33"/>
        <w:rPr>
          <w:b/>
        </w:rPr>
      </w:pPr>
      <w:r w:rsidRPr="003D597E">
        <w:rPr>
          <w:b/>
        </w:rPr>
        <w:t>Questions:</w:t>
      </w:r>
    </w:p>
    <w:p w14:paraId="6D7CA648" w14:textId="77777777" w:rsidR="001D0D9B" w:rsidRDefault="001D0D9B" w:rsidP="00E1484D">
      <w:pPr>
        <w:keepNext/>
        <w:keepLines/>
        <w:pBdr>
          <w:top w:val="single" w:sz="4" w:space="1" w:color="auto"/>
          <w:left w:val="single" w:sz="4" w:space="4" w:color="auto"/>
          <w:right w:val="single" w:sz="4" w:space="4" w:color="auto"/>
        </w:pBdr>
        <w:shd w:val="clear" w:color="auto" w:fill="EAF1DD" w:themeFill="accent3" w:themeFillTint="33"/>
      </w:pPr>
    </w:p>
    <w:p w14:paraId="6203F810" w14:textId="77777777" w:rsidR="009726C7" w:rsidRDefault="001027B8" w:rsidP="00E1484D">
      <w:pPr>
        <w:keepNext/>
        <w:keepLines/>
        <w:pBdr>
          <w:top w:val="single" w:sz="4" w:space="1" w:color="auto"/>
          <w:left w:val="single" w:sz="4" w:space="4" w:color="auto"/>
          <w:right w:val="single" w:sz="4" w:space="4" w:color="auto"/>
        </w:pBdr>
        <w:shd w:val="clear" w:color="auto" w:fill="EAF1DD" w:themeFill="accent3" w:themeFillTint="33"/>
      </w:pPr>
      <w:r>
        <w:t xml:space="preserve">Do you regard the investigation of an alternative approach to regulating nutritive substances and novel foods in the Code as a viable option? </w:t>
      </w:r>
    </w:p>
    <w:p w14:paraId="4D506AD5" w14:textId="77777777" w:rsidR="009726C7" w:rsidRDefault="009726C7" w:rsidP="00E1484D">
      <w:pPr>
        <w:keepNext/>
        <w:keepLines/>
        <w:pBdr>
          <w:top w:val="single" w:sz="4" w:space="1" w:color="auto"/>
          <w:left w:val="single" w:sz="4" w:space="4" w:color="auto"/>
          <w:right w:val="single" w:sz="4" w:space="4" w:color="auto"/>
        </w:pBdr>
        <w:shd w:val="clear" w:color="auto" w:fill="EAF1DD" w:themeFill="accent3" w:themeFillTint="33"/>
      </w:pPr>
    </w:p>
    <w:p w14:paraId="211F523C" w14:textId="77777777" w:rsidR="001027B8" w:rsidRDefault="001027B8" w:rsidP="00DA155A">
      <w:pPr>
        <w:pBdr>
          <w:top w:val="single" w:sz="4" w:space="1" w:color="auto"/>
          <w:left w:val="single" w:sz="4" w:space="4" w:color="auto"/>
          <w:right w:val="single" w:sz="4" w:space="4" w:color="auto"/>
        </w:pBdr>
        <w:shd w:val="clear" w:color="auto" w:fill="EAF1DD" w:themeFill="accent3" w:themeFillTint="33"/>
      </w:pPr>
      <w:r>
        <w:t>In particular, taking account of FSANZ’s primary objective of protecting public health and safety, is the draft framework presented in option 3 a viable option?</w:t>
      </w:r>
      <w:r w:rsidR="009726C7">
        <w:t xml:space="preserve"> What aspects of the draft framework do you think are viable or not viable? Please provide supporting statements for your view.</w:t>
      </w:r>
    </w:p>
    <w:p w14:paraId="49A28E01" w14:textId="77777777" w:rsidR="001027B8" w:rsidRDefault="001027B8" w:rsidP="00DA155A">
      <w:pPr>
        <w:pBdr>
          <w:top w:val="single" w:sz="4" w:space="1" w:color="auto"/>
          <w:left w:val="single" w:sz="4" w:space="4" w:color="auto"/>
          <w:right w:val="single" w:sz="4" w:space="4" w:color="auto"/>
        </w:pBdr>
        <w:shd w:val="clear" w:color="auto" w:fill="EAF1DD" w:themeFill="accent3" w:themeFillTint="33"/>
      </w:pPr>
    </w:p>
    <w:p w14:paraId="7C2E9DC4" w14:textId="66F158AC" w:rsidR="001D0D9B" w:rsidRDefault="001D0D9B" w:rsidP="00DA155A">
      <w:pPr>
        <w:pBdr>
          <w:top w:val="single" w:sz="4" w:space="1" w:color="auto"/>
          <w:left w:val="single" w:sz="4" w:space="4" w:color="auto"/>
          <w:right w:val="single" w:sz="4" w:space="4" w:color="auto"/>
        </w:pBdr>
        <w:shd w:val="clear" w:color="auto" w:fill="EAF1DD" w:themeFill="accent3" w:themeFillTint="33"/>
      </w:pPr>
      <w:r>
        <w:t xml:space="preserve">Do you have suggestions for the type of foods that </w:t>
      </w:r>
      <w:r w:rsidR="009726C7">
        <w:t>would</w:t>
      </w:r>
      <w:r>
        <w:t xml:space="preserve"> not meet the </w:t>
      </w:r>
      <w:r w:rsidR="00382579">
        <w:t>EFC</w:t>
      </w:r>
      <w:r>
        <w:t xml:space="preserve">, but may be suitable for industry self-assessment? </w:t>
      </w:r>
    </w:p>
    <w:p w14:paraId="23676D81" w14:textId="77777777" w:rsidR="001D0D9B" w:rsidRDefault="001D0D9B" w:rsidP="00DA155A">
      <w:pPr>
        <w:pBdr>
          <w:left w:val="single" w:sz="4" w:space="4" w:color="auto"/>
          <w:bottom w:val="single" w:sz="4" w:space="0" w:color="auto"/>
          <w:right w:val="single" w:sz="4" w:space="4" w:color="auto"/>
        </w:pBdr>
        <w:shd w:val="clear" w:color="auto" w:fill="EAF1DD" w:themeFill="accent3" w:themeFillTint="33"/>
      </w:pPr>
    </w:p>
    <w:p w14:paraId="51E0A6BC" w14:textId="77777777" w:rsidR="001D0D9B" w:rsidRDefault="005B5ED7" w:rsidP="00DA155A">
      <w:pPr>
        <w:pBdr>
          <w:left w:val="single" w:sz="4" w:space="4" w:color="auto"/>
          <w:bottom w:val="single" w:sz="4" w:space="0" w:color="auto"/>
          <w:right w:val="single" w:sz="4" w:space="4" w:color="auto"/>
        </w:pBdr>
        <w:shd w:val="clear" w:color="auto" w:fill="EAF1DD" w:themeFill="accent3" w:themeFillTint="33"/>
      </w:pPr>
      <w:r>
        <w:t>Please provide details of how a self-assessment pathway may or may not provide benefits to industry.</w:t>
      </w:r>
    </w:p>
    <w:p w14:paraId="32694EF8" w14:textId="77777777" w:rsidR="005B5ED7" w:rsidRDefault="005B5ED7" w:rsidP="00DA155A">
      <w:pPr>
        <w:pBdr>
          <w:left w:val="single" w:sz="4" w:space="4" w:color="auto"/>
          <w:bottom w:val="single" w:sz="4" w:space="0" w:color="auto"/>
          <w:right w:val="single" w:sz="4" w:space="4" w:color="auto"/>
        </w:pBdr>
        <w:shd w:val="clear" w:color="auto" w:fill="EAF1DD" w:themeFill="accent3" w:themeFillTint="33"/>
      </w:pPr>
    </w:p>
    <w:p w14:paraId="0D073D50" w14:textId="77777777" w:rsidR="005B5ED7" w:rsidRDefault="005B5ED7" w:rsidP="00DA155A">
      <w:pPr>
        <w:pBdr>
          <w:left w:val="single" w:sz="4" w:space="4" w:color="auto"/>
          <w:bottom w:val="single" w:sz="4" w:space="0" w:color="auto"/>
          <w:right w:val="single" w:sz="4" w:space="4" w:color="auto"/>
        </w:pBdr>
        <w:shd w:val="clear" w:color="auto" w:fill="EAF1DD" w:themeFill="accent3" w:themeFillTint="33"/>
      </w:pPr>
      <w:r>
        <w:t xml:space="preserve">Would notification and publication of dossiers provide enough regulatory oversight and consumer confidence in relation to the safety of new foods? Please support your answer with detail of why you believe this is the case. </w:t>
      </w:r>
    </w:p>
    <w:p w14:paraId="69C7E8E5" w14:textId="511F0983" w:rsidR="00223545" w:rsidRDefault="00F301CF" w:rsidP="000D0DA9">
      <w:pPr>
        <w:pStyle w:val="Heading3"/>
      </w:pPr>
      <w:bookmarkStart w:id="44" w:name="_Toc436754830"/>
      <w:r>
        <w:t>4</w:t>
      </w:r>
      <w:r w:rsidR="00BF6E77">
        <w:t>.2.3.4</w:t>
      </w:r>
      <w:r w:rsidR="00191878">
        <w:tab/>
        <w:t>FSANZ assessment of applications</w:t>
      </w:r>
      <w:bookmarkEnd w:id="44"/>
    </w:p>
    <w:p w14:paraId="353E9A4B" w14:textId="77777777" w:rsidR="00866363" w:rsidRDefault="00866363" w:rsidP="00866363">
      <w:r>
        <w:t xml:space="preserve">A food business could choose to follow the </w:t>
      </w:r>
      <w:r w:rsidR="002731DF">
        <w:t xml:space="preserve">self-assessment </w:t>
      </w:r>
      <w:r>
        <w:t>pathway, or could submit an application to FSANZ to assess the food. An application to FSANZ would need to meet the requirements of the FSANZ Application Handbook, as is currently the case for applications to amend the Code. If the FSANZ assessment recommends the approval of the food, it would be listed in the Code as a permitted food</w:t>
      </w:r>
      <w:r w:rsidR="002731DF">
        <w:t>,</w:t>
      </w:r>
      <w:r>
        <w:t xml:space="preserve"> similar to the existing list of permitted novel foods </w:t>
      </w:r>
      <w:r w:rsidR="00284CEC">
        <w:t>in</w:t>
      </w:r>
      <w:r>
        <w:t xml:space="preserve"> Standard 1.5.1. </w:t>
      </w:r>
    </w:p>
    <w:p w14:paraId="3DB207D0" w14:textId="77777777" w:rsidR="00866363" w:rsidRDefault="00866363" w:rsidP="00866363"/>
    <w:p w14:paraId="71E284DC" w14:textId="336F20D4" w:rsidR="007007C2" w:rsidRDefault="0034019F" w:rsidP="00333B73">
      <w:r>
        <w:t>S</w:t>
      </w:r>
      <w:r w:rsidR="007007C2">
        <w:t xml:space="preserve">ome non-eligible foods </w:t>
      </w:r>
      <w:r w:rsidR="002731DF">
        <w:t xml:space="preserve">may </w:t>
      </w:r>
      <w:r w:rsidR="007007C2">
        <w:t xml:space="preserve">require assessment by FSANZ, rather than </w:t>
      </w:r>
      <w:r w:rsidR="003468AC">
        <w:t xml:space="preserve">being suitable for </w:t>
      </w:r>
      <w:r w:rsidR="007007C2">
        <w:t xml:space="preserve">industry self-assessment. </w:t>
      </w:r>
      <w:r w:rsidR="003468AC">
        <w:t xml:space="preserve">These could be </w:t>
      </w:r>
      <w:r w:rsidR="002731DF">
        <w:t xml:space="preserve">foods </w:t>
      </w:r>
      <w:r w:rsidR="003468AC">
        <w:t xml:space="preserve">that do not pass the gateway tests described in section </w:t>
      </w:r>
      <w:r w:rsidR="00F301CF">
        <w:t>4</w:t>
      </w:r>
      <w:r w:rsidR="003468AC">
        <w:t>.3.2</w:t>
      </w:r>
      <w:r w:rsidR="00442E14">
        <w:t>.</w:t>
      </w:r>
      <w:r w:rsidR="00A81D31">
        <w:t>2</w:t>
      </w:r>
      <w:r w:rsidR="003468AC">
        <w:t xml:space="preserve"> above</w:t>
      </w:r>
      <w:r w:rsidR="002731DF">
        <w:t>,</w:t>
      </w:r>
      <w:r w:rsidR="003468AC">
        <w:t xml:space="preserve"> or </w:t>
      </w:r>
      <w:r w:rsidR="002A55A8">
        <w:t xml:space="preserve">certain </w:t>
      </w:r>
      <w:r w:rsidR="002731DF">
        <w:t>exclusions to the</w:t>
      </w:r>
      <w:r w:rsidR="003468AC">
        <w:t xml:space="preserve"> </w:t>
      </w:r>
      <w:r w:rsidR="00382579">
        <w:t xml:space="preserve">EFC </w:t>
      </w:r>
      <w:r>
        <w:t>that warrant</w:t>
      </w:r>
      <w:r w:rsidR="002A55A8">
        <w:t xml:space="preserve"> additional</w:t>
      </w:r>
      <w:r w:rsidR="00F90043">
        <w:t xml:space="preserve"> </w:t>
      </w:r>
      <w:r w:rsidR="002731DF">
        <w:t>assessment by FSANZ</w:t>
      </w:r>
      <w:r w:rsidR="003468AC">
        <w:t xml:space="preserve">. </w:t>
      </w:r>
    </w:p>
    <w:p w14:paraId="1A0FE502" w14:textId="77777777" w:rsidR="00223545" w:rsidRDefault="00223545" w:rsidP="00333B73"/>
    <w:p w14:paraId="6ED14595" w14:textId="77777777" w:rsidR="000D63FB" w:rsidRDefault="00866F09" w:rsidP="00333B73">
      <w:r>
        <w:t>I</w:t>
      </w:r>
      <w:r w:rsidR="005766AC">
        <w:t xml:space="preserve">t is possible that the Application Handbook could be amended to reflect a graduated approach to assessment of different types of ‘non-eligible’ foods. For example, the data and assessment requirements for foods that are suitable for industry self-assessment should be reflected in the </w:t>
      </w:r>
      <w:r w:rsidR="005766AC" w:rsidRPr="00F301CF">
        <w:rPr>
          <w:i/>
        </w:rPr>
        <w:t>Application Handbook</w:t>
      </w:r>
      <w:r w:rsidR="005766AC">
        <w:t xml:space="preserve"> for those food businesses that wish to submit an application to FSANZ rather than conduct a self-assessment. </w:t>
      </w:r>
      <w:r w:rsidR="00007D42">
        <w:t xml:space="preserve"> </w:t>
      </w:r>
      <w:r w:rsidR="005766AC">
        <w:t>It may be possible that other changes to the Application Handbook could be developed as this Proposal progresses.</w:t>
      </w:r>
    </w:p>
    <w:p w14:paraId="6D674662" w14:textId="77777777" w:rsidR="000D63FB" w:rsidRDefault="000D63FB" w:rsidP="00333B73"/>
    <w:p w14:paraId="5AA35C3D" w14:textId="3F6CC158" w:rsidR="000D0DA9" w:rsidRDefault="000D63FB" w:rsidP="006B0438">
      <w:r>
        <w:t xml:space="preserve">A flowchart representing a self-assessment pathway of a graduated risk approach is presented in Figure 1 below. The flow chart identifies decision points in considering whether a food can be self-assessed, outcomes based on self-assessment (including reference to where FSANZ guidelines will need to be consulted), points at which a FSANZ assessment is required and the role </w:t>
      </w:r>
      <w:r w:rsidR="006B0438">
        <w:t xml:space="preserve">of post-market surveillance. </w:t>
      </w:r>
    </w:p>
    <w:p w14:paraId="24BF741E" w14:textId="77777777" w:rsidR="005B7486" w:rsidRDefault="005B7486" w:rsidP="00333B73">
      <w:pPr>
        <w:sectPr w:rsidR="005B7486" w:rsidSect="00335079">
          <w:pgSz w:w="11906" w:h="16838"/>
          <w:pgMar w:top="1418" w:right="1418" w:bottom="1418" w:left="1418" w:header="709" w:footer="709" w:gutter="0"/>
          <w:cols w:space="708"/>
          <w:docGrid w:linePitch="360"/>
        </w:sectPr>
      </w:pPr>
    </w:p>
    <w:p w14:paraId="3F97909D" w14:textId="5C58C570" w:rsidR="002A7996" w:rsidRDefault="00572E24" w:rsidP="00DE78B6">
      <w:r>
        <w:object w:dxaOrig="14789" w:dyaOrig="10452" w14:anchorId="3416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75pt;height:438pt" o:ole="">
            <v:imagedata r:id="rId23" o:title=""/>
          </v:shape>
          <o:OLEObject Type="Embed" ProgID="Visio.Drawing.11" ShapeID="_x0000_i1025" DrawAspect="Content" ObjectID="_1514795443" r:id="rId24"/>
        </w:object>
      </w:r>
    </w:p>
    <w:p w14:paraId="3493B4FF" w14:textId="7E7D7317" w:rsidR="00983407" w:rsidRDefault="00983407" w:rsidP="001455E8">
      <w:pPr>
        <w:pStyle w:val="FSFigureTitle"/>
        <w:sectPr w:rsidR="00983407" w:rsidSect="006B0438">
          <w:pgSz w:w="16838" w:h="11906" w:orient="landscape"/>
          <w:pgMar w:top="1440" w:right="1440" w:bottom="1440" w:left="1440" w:header="709" w:footer="709" w:gutter="0"/>
          <w:cols w:space="708"/>
          <w:docGrid w:linePitch="360"/>
        </w:sectPr>
      </w:pPr>
      <w:proofErr w:type="gramStart"/>
      <w:r>
        <w:t xml:space="preserve">Figure </w:t>
      </w:r>
      <w:r w:rsidR="00DA155A">
        <w:t>1.</w:t>
      </w:r>
      <w:proofErr w:type="gramEnd"/>
      <w:r w:rsidR="00720927">
        <w:t xml:space="preserve"> </w:t>
      </w:r>
      <w:r>
        <w:t xml:space="preserve"> </w:t>
      </w:r>
      <w:r w:rsidR="001455E8">
        <w:t xml:space="preserve">Framework for graduated risk approach </w:t>
      </w:r>
      <w:r w:rsidR="005B7486">
        <w:t>– routes to market for new foods</w:t>
      </w:r>
    </w:p>
    <w:p w14:paraId="21936BF0" w14:textId="7D65C41F" w:rsidR="00E3094D" w:rsidRDefault="00F301CF" w:rsidP="00F301CF">
      <w:pPr>
        <w:pStyle w:val="Heading2"/>
      </w:pPr>
      <w:bookmarkStart w:id="45" w:name="_Toc436754831"/>
      <w:r>
        <w:lastRenderedPageBreak/>
        <w:t>4</w:t>
      </w:r>
      <w:r w:rsidR="00156AE0">
        <w:t>.</w:t>
      </w:r>
      <w:r w:rsidR="00D4613E">
        <w:t>3</w:t>
      </w:r>
      <w:r w:rsidR="00156AE0">
        <w:tab/>
      </w:r>
      <w:r w:rsidR="007F5271">
        <w:t>Draft framework - o</w:t>
      </w:r>
      <w:r w:rsidR="00AF40D4">
        <w:t>ther consideration</w:t>
      </w:r>
      <w:r w:rsidR="007F5271">
        <w:t>s</w:t>
      </w:r>
      <w:bookmarkEnd w:id="45"/>
    </w:p>
    <w:p w14:paraId="2FA08CBD" w14:textId="593B2123" w:rsidR="00307FE1" w:rsidRDefault="00F301CF" w:rsidP="000D0DA9">
      <w:pPr>
        <w:pStyle w:val="Heading3"/>
      </w:pPr>
      <w:bookmarkStart w:id="46" w:name="_Toc436754832"/>
      <w:r>
        <w:t>4</w:t>
      </w:r>
      <w:r w:rsidR="00307FE1">
        <w:t>.</w:t>
      </w:r>
      <w:r w:rsidR="000E10EE">
        <w:t>3</w:t>
      </w:r>
      <w:r w:rsidR="00307FE1">
        <w:t>.1</w:t>
      </w:r>
      <w:r w:rsidR="00307FE1">
        <w:tab/>
        <w:t xml:space="preserve">Impact of </w:t>
      </w:r>
      <w:r w:rsidR="008C23FB">
        <w:t xml:space="preserve">the </w:t>
      </w:r>
      <w:r w:rsidR="007F5271">
        <w:t>draft framework</w:t>
      </w:r>
      <w:r w:rsidR="008C23FB">
        <w:t xml:space="preserve"> on current standards</w:t>
      </w:r>
      <w:bookmarkEnd w:id="46"/>
    </w:p>
    <w:p w14:paraId="3D43EB21" w14:textId="0841B025" w:rsidR="008C23FB" w:rsidRPr="005B5ED7" w:rsidRDefault="000E10EE" w:rsidP="008C23FB">
      <w:r>
        <w:t>Under an alternative framework, t</w:t>
      </w:r>
      <w:r w:rsidR="008C23FB" w:rsidRPr="00906597">
        <w:t xml:space="preserve">he </w:t>
      </w:r>
      <w:r w:rsidR="008C23FB" w:rsidRPr="005B5ED7">
        <w:t>existing nutritive substance and novel food definitions, and the novel food standard, would be extensively revised</w:t>
      </w:r>
      <w:r w:rsidR="00F270F7">
        <w:t>.</w:t>
      </w:r>
      <w:r w:rsidR="00DA155A">
        <w:t xml:space="preserve"> As noted in section</w:t>
      </w:r>
      <w:r w:rsidR="008C23FB" w:rsidRPr="005B5ED7">
        <w:t xml:space="preserve"> </w:t>
      </w:r>
      <w:r w:rsidR="00F301CF">
        <w:t>2</w:t>
      </w:r>
      <w:r w:rsidR="008C23FB" w:rsidRPr="00DA155A">
        <w:t>.3</w:t>
      </w:r>
      <w:r w:rsidR="008C23FB" w:rsidRPr="005B5ED7">
        <w:t xml:space="preserve">, there is an increasing degree of overlap in relation to substances added to food to achieve a health effect that may meet both the definition of nutritive substance and novel food. In addition, the data requirements to establish safety of these substances are very similar (as evidenced in the </w:t>
      </w:r>
      <w:r w:rsidR="008C23FB" w:rsidRPr="00F301CF">
        <w:rPr>
          <w:i/>
        </w:rPr>
        <w:t>Application Handbook</w:t>
      </w:r>
      <w:r w:rsidR="008C23FB" w:rsidRPr="005B5ED7">
        <w:t xml:space="preserve">). </w:t>
      </w:r>
    </w:p>
    <w:p w14:paraId="71A01ADD" w14:textId="77777777" w:rsidR="008C23FB" w:rsidRPr="005B5ED7" w:rsidRDefault="008C23FB" w:rsidP="008C23FB"/>
    <w:p w14:paraId="2633943C" w14:textId="217DDCC8" w:rsidR="008C23FB" w:rsidRPr="005B5ED7" w:rsidRDefault="008C23FB" w:rsidP="00AF40D4">
      <w:r w:rsidRPr="005B5ED7">
        <w:t xml:space="preserve">Under </w:t>
      </w:r>
      <w:r w:rsidR="000E10EE">
        <w:t>an alternative framework</w:t>
      </w:r>
      <w:r w:rsidRPr="005B5ED7">
        <w:t>, FSANZ considers there may be no need for the separate regulation of nutritive substances and novel foods in the Code other than vitamins and minerals which are specifically addressed by existing standards, particularly Standard 1.3.2</w:t>
      </w:r>
      <w:r w:rsidR="00F301CF">
        <w:t xml:space="preserve"> – Vitamins and Minerals</w:t>
      </w:r>
      <w:r w:rsidRPr="005B5ED7">
        <w:t xml:space="preserve">. </w:t>
      </w:r>
      <w:r w:rsidR="006F71B2">
        <w:t xml:space="preserve">In addition, the need for maintaining definitions of nutritive substance and novel food would be removed. </w:t>
      </w:r>
      <w:r w:rsidRPr="005B5ED7">
        <w:t xml:space="preserve">However, existing permissions for nutritive substances and novel foods in the Code would be maintained though these terms may not be used. </w:t>
      </w:r>
      <w:r w:rsidR="006F71B2">
        <w:t xml:space="preserve">Potential impacts of an alternative framework on current standards </w:t>
      </w:r>
      <w:r w:rsidR="005A7F8F">
        <w:t>are</w:t>
      </w:r>
      <w:r w:rsidR="006F71B2">
        <w:t xml:space="preserve"> explored in more detail in Attachment </w:t>
      </w:r>
      <w:r w:rsidR="00AA1045">
        <w:t>D</w:t>
      </w:r>
      <w:r w:rsidR="006F71B2">
        <w:t xml:space="preserve">. </w:t>
      </w:r>
    </w:p>
    <w:p w14:paraId="23CA96B1" w14:textId="77777777" w:rsidR="00904D8D" w:rsidRDefault="00904D8D" w:rsidP="00696B0B"/>
    <w:p w14:paraId="2E03D66C" w14:textId="77777777" w:rsidR="00904D8D" w:rsidRPr="003D597E" w:rsidRDefault="005328CB" w:rsidP="003D597E">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3D597E">
        <w:rPr>
          <w:b/>
        </w:rPr>
        <w:t>Questions:</w:t>
      </w:r>
    </w:p>
    <w:p w14:paraId="6445CA12" w14:textId="77777777" w:rsidR="00904D8D" w:rsidRDefault="00904D8D" w:rsidP="003D597E">
      <w:pPr>
        <w:pBdr>
          <w:top w:val="single" w:sz="4" w:space="1" w:color="auto"/>
          <w:left w:val="single" w:sz="4" w:space="4" w:color="auto"/>
          <w:bottom w:val="single" w:sz="4" w:space="1" w:color="auto"/>
          <w:right w:val="single" w:sz="4" w:space="4" w:color="auto"/>
        </w:pBdr>
        <w:shd w:val="clear" w:color="auto" w:fill="EAF1DD" w:themeFill="accent3" w:themeFillTint="33"/>
      </w:pPr>
    </w:p>
    <w:p w14:paraId="6465F066" w14:textId="2B3F531A" w:rsidR="004718F9" w:rsidRPr="009C1187" w:rsidRDefault="004718F9" w:rsidP="003D597E">
      <w:pPr>
        <w:pBdr>
          <w:top w:val="single" w:sz="4" w:space="1" w:color="auto"/>
          <w:left w:val="single" w:sz="4" w:space="4" w:color="auto"/>
          <w:bottom w:val="single" w:sz="4" w:space="1" w:color="auto"/>
          <w:right w:val="single" w:sz="4" w:space="4" w:color="auto"/>
        </w:pBdr>
        <w:shd w:val="clear" w:color="auto" w:fill="EAF1DD" w:themeFill="accent3" w:themeFillTint="33"/>
      </w:pPr>
      <w:r>
        <w:t>Can you identify any negative impacts that may result from combining the regulation of novel foods and nutritive substances (other than vitamins and minerals) that may occur under a graduated risk approach? Please explain these impacts</w:t>
      </w:r>
      <w:r w:rsidR="00CD11F0">
        <w:t>.</w:t>
      </w:r>
    </w:p>
    <w:p w14:paraId="35C46D6B" w14:textId="490305FD" w:rsidR="00307FE1" w:rsidRDefault="00F301CF" w:rsidP="000D0DA9">
      <w:pPr>
        <w:pStyle w:val="Heading3"/>
      </w:pPr>
      <w:bookmarkStart w:id="47" w:name="_Toc436754833"/>
      <w:r>
        <w:t>4</w:t>
      </w:r>
      <w:r w:rsidR="00307FE1">
        <w:t>.</w:t>
      </w:r>
      <w:r w:rsidR="00F07C89">
        <w:t>3</w:t>
      </w:r>
      <w:r w:rsidR="00307FE1">
        <w:t>.</w:t>
      </w:r>
      <w:r w:rsidR="00B179DE">
        <w:t>2</w:t>
      </w:r>
      <w:r w:rsidR="00307FE1">
        <w:tab/>
        <w:t>Policy guidance</w:t>
      </w:r>
      <w:bookmarkEnd w:id="47"/>
    </w:p>
    <w:p w14:paraId="4BA67F15" w14:textId="2630E320" w:rsidR="00307FE1" w:rsidRDefault="00307FE1" w:rsidP="00307FE1">
      <w:r w:rsidRPr="0033352A">
        <w:t xml:space="preserve">The </w:t>
      </w:r>
      <w:r w:rsidR="00445726">
        <w:t>draft framework</w:t>
      </w:r>
      <w:r w:rsidRPr="0033352A">
        <w:t xml:space="preserve"> primarily focuses on ensuring safety of the substance for human consumption</w:t>
      </w:r>
      <w:r w:rsidR="00553CCD">
        <w:t>, which is FSANZ’s primary statutory objective</w:t>
      </w:r>
      <w:r w:rsidRPr="0033352A">
        <w:t xml:space="preserve">. The </w:t>
      </w:r>
      <w:r w:rsidR="008F4351">
        <w:t xml:space="preserve">Ministerial </w:t>
      </w:r>
      <w:r w:rsidRPr="0033352A">
        <w:t>Policy Guideline (</w:t>
      </w:r>
      <w:r w:rsidRPr="005B5ED7">
        <w:t xml:space="preserve">see section </w:t>
      </w:r>
      <w:r w:rsidR="00F301CF">
        <w:t>4</w:t>
      </w:r>
      <w:r w:rsidR="00101CD1" w:rsidRPr="005B5ED7">
        <w:t>.</w:t>
      </w:r>
      <w:r w:rsidR="00442E14" w:rsidRPr="005B5ED7">
        <w:t>1</w:t>
      </w:r>
      <w:r w:rsidR="00101CD1" w:rsidRPr="005B5ED7">
        <w:t>.</w:t>
      </w:r>
      <w:r w:rsidR="00A81D31">
        <w:t>4</w:t>
      </w:r>
      <w:r w:rsidRPr="005B5ED7">
        <w:t>) also identifies</w:t>
      </w:r>
      <w:r w:rsidRPr="0033352A">
        <w:t xml:space="preserve"> three other issues to consider, namely:</w:t>
      </w:r>
    </w:p>
    <w:p w14:paraId="4D6620F8" w14:textId="77777777" w:rsidR="00FA2D0D" w:rsidRDefault="00FA2D0D" w:rsidP="00307FE1"/>
    <w:p w14:paraId="620BA9DA" w14:textId="77777777" w:rsidR="00307FE1" w:rsidRDefault="00307FE1" w:rsidP="003D597E">
      <w:pPr>
        <w:pStyle w:val="FSBullet1"/>
      </w:pPr>
      <w:r w:rsidRPr="0033352A">
        <w:t>the stated purpose for adding the substance and the consistency to deliver this purpose</w:t>
      </w:r>
    </w:p>
    <w:p w14:paraId="747FEF47" w14:textId="77777777" w:rsidR="00FA2D0D" w:rsidRPr="0033352A" w:rsidRDefault="00FA2D0D" w:rsidP="00FA2D0D">
      <w:pPr>
        <w:widowControl/>
      </w:pPr>
    </w:p>
    <w:p w14:paraId="6B0B63E3" w14:textId="77777777" w:rsidR="00FA2D0D" w:rsidRDefault="00307FE1" w:rsidP="003D597E">
      <w:pPr>
        <w:pStyle w:val="FSBullet1"/>
      </w:pPr>
      <w:r w:rsidRPr="0033352A">
        <w:t>the potential for the addition of the substance to create a significant negative public health impact to the general population or sub population</w:t>
      </w:r>
    </w:p>
    <w:p w14:paraId="2F03E74A" w14:textId="77777777" w:rsidR="00FA2D0D" w:rsidRPr="0033352A" w:rsidRDefault="00FA2D0D" w:rsidP="00FA2D0D">
      <w:pPr>
        <w:widowControl/>
      </w:pPr>
    </w:p>
    <w:p w14:paraId="43CCC40B" w14:textId="77777777" w:rsidR="00307FE1" w:rsidRDefault="00307FE1" w:rsidP="003D597E">
      <w:pPr>
        <w:pStyle w:val="FSBullet1"/>
      </w:pPr>
      <w:proofErr w:type="gramStart"/>
      <w:r w:rsidRPr="0033352A">
        <w:t>the</w:t>
      </w:r>
      <w:proofErr w:type="gramEnd"/>
      <w:r w:rsidRPr="0033352A">
        <w:t xml:space="preserve"> potential for consumers to be misled about the nutritional quality of the food containing the added substance.</w:t>
      </w:r>
    </w:p>
    <w:p w14:paraId="2189C2BF" w14:textId="77777777" w:rsidR="00307FE1" w:rsidRDefault="00307FE1" w:rsidP="00307FE1"/>
    <w:p w14:paraId="0620F03F" w14:textId="5FB43356" w:rsidR="007D7093" w:rsidRDefault="00990124" w:rsidP="00990124">
      <w:r>
        <w:t xml:space="preserve">How these issues might be addressed under the </w:t>
      </w:r>
      <w:r w:rsidR="00445726">
        <w:t>draft framework</w:t>
      </w:r>
      <w:r>
        <w:t xml:space="preserve"> requires further consideration. </w:t>
      </w:r>
      <w:r w:rsidR="00445726">
        <w:t xml:space="preserve">Some initial considerations are provided in Attachment </w:t>
      </w:r>
      <w:r w:rsidR="007D7093">
        <w:t>C and SD5</w:t>
      </w:r>
      <w:r w:rsidR="00445726">
        <w:t xml:space="preserve">. </w:t>
      </w:r>
    </w:p>
    <w:p w14:paraId="681E0E23" w14:textId="65518C6E" w:rsidR="00B179DE" w:rsidRDefault="00F301CF" w:rsidP="000D0DA9">
      <w:pPr>
        <w:pStyle w:val="Heading3"/>
      </w:pPr>
      <w:bookmarkStart w:id="48" w:name="_Toc436754834"/>
      <w:r>
        <w:t>4</w:t>
      </w:r>
      <w:r w:rsidR="007D7093">
        <w:t>.3.3</w:t>
      </w:r>
      <w:r w:rsidR="007D7093">
        <w:tab/>
        <w:t>International consistency</w:t>
      </w:r>
      <w:bookmarkEnd w:id="48"/>
      <w:r w:rsidR="007D7093">
        <w:t xml:space="preserve"> </w:t>
      </w:r>
    </w:p>
    <w:p w14:paraId="757B67FC" w14:textId="27588517" w:rsidR="007D7093" w:rsidRDefault="007D7093" w:rsidP="00990124">
      <w:r>
        <w:t xml:space="preserve">FSANZ has taken international approaches (to the regulation of nutritive substances and novel foods) into account in developing the draft framework. Although the legislative frameworks differ between international jurisdictions, some elements of international approaches have been incorporated into the draft framework. </w:t>
      </w:r>
      <w:r w:rsidR="00F73626">
        <w:t>Additionally the draft framework may include as a ‘gateway test’ for the self-assessment route, the approval of a novel food by an overseas authority.</w:t>
      </w:r>
    </w:p>
    <w:p w14:paraId="1A512097" w14:textId="77777777" w:rsidR="007D7093" w:rsidRDefault="007D7093" w:rsidP="00990124"/>
    <w:p w14:paraId="240BEF06" w14:textId="090FAF77" w:rsidR="004251B7" w:rsidRDefault="00F301CF" w:rsidP="00F301CF">
      <w:pPr>
        <w:pStyle w:val="Heading2"/>
      </w:pPr>
      <w:bookmarkStart w:id="49" w:name="_Toc436754835"/>
      <w:r>
        <w:lastRenderedPageBreak/>
        <w:t>4</w:t>
      </w:r>
      <w:r w:rsidR="004251B7">
        <w:t>.4</w:t>
      </w:r>
      <w:r w:rsidR="004251B7">
        <w:tab/>
        <w:t>Assessment conclusion</w:t>
      </w:r>
      <w:bookmarkEnd w:id="49"/>
    </w:p>
    <w:p w14:paraId="3DD40240" w14:textId="2DCA11C5" w:rsidR="004251B7" w:rsidRDefault="004251B7" w:rsidP="004251B7">
      <w:pPr>
        <w:rPr>
          <w:lang w:bidi="ar-SA"/>
        </w:rPr>
      </w:pPr>
      <w:r>
        <w:rPr>
          <w:lang w:bidi="ar-SA"/>
        </w:rPr>
        <w:t xml:space="preserve">After assessing the risks created by the uncertainty associated with the current provisions for nutritive substances and novel foods in the Code (section </w:t>
      </w:r>
      <w:r w:rsidR="00F301CF">
        <w:rPr>
          <w:lang w:bidi="ar-SA"/>
        </w:rPr>
        <w:t>3</w:t>
      </w:r>
      <w:r>
        <w:rPr>
          <w:lang w:bidi="ar-SA"/>
        </w:rPr>
        <w:t xml:space="preserve">), and having regard to the criteria in section 59 and subsection 18(2) of the FSANZ Act and other risk management considerations, FSANZ considers option 3 will provide the greatest opportunity to address these issues. Maintaining the status quo will not address these risks (option 1). Amending the definitions of ‘used as a nutritive substance’ and ‘novel food’ may address these risks in part, but may also be subject to the existing issue of uncertainty faced by the current reliance on definitions to identify these foods (option 2). </w:t>
      </w:r>
    </w:p>
    <w:p w14:paraId="0967185C" w14:textId="77777777" w:rsidR="004251B7" w:rsidRDefault="004251B7" w:rsidP="004251B7">
      <w:pPr>
        <w:rPr>
          <w:lang w:bidi="ar-SA"/>
        </w:rPr>
      </w:pPr>
    </w:p>
    <w:p w14:paraId="015D29C8" w14:textId="64F22796" w:rsidR="004251B7" w:rsidRDefault="004251B7" w:rsidP="004251B7">
      <w:r>
        <w:rPr>
          <w:lang w:bidi="ar-SA"/>
        </w:rPr>
        <w:t>Option 3 recognises an alternative approach may be required to more effectively address the risks identified in this assessment. The draft framework for an alternative approach presented by FSANZ in secti</w:t>
      </w:r>
      <w:r w:rsidR="00F301CF">
        <w:rPr>
          <w:lang w:bidi="ar-SA"/>
        </w:rPr>
        <w:t>on 4</w:t>
      </w:r>
      <w:r>
        <w:rPr>
          <w:lang w:bidi="ar-SA"/>
        </w:rPr>
        <w:t xml:space="preserve">.2.3, which would fit within the current food regulatory environment, illustrates one way of thinking about a new approach that would provide more objective identification of foods that do or do not require pre-market approval; risk-proportionate approaches to assessing foods that require pre-market assessment; and better enforceability. All foods would require a pre-market assessment but the routes to market, the data requirements and the level of regulatory oversight would be proportionate to risk or uncertainty. Eligible food criteria are used to identify low risk foods. </w:t>
      </w:r>
      <w:r>
        <w:t xml:space="preserve">A ‘gateway’ test will be developed to identify foods which may undergo a self-assessment with notification to regulatory authorities. Higher or unknown risk foods would require assessment by FSANZ as currently. </w:t>
      </w:r>
    </w:p>
    <w:p w14:paraId="3DF50900" w14:textId="77777777" w:rsidR="004251B7" w:rsidRDefault="004251B7" w:rsidP="004251B7">
      <w:pPr>
        <w:rPr>
          <w:lang w:bidi="ar-SA"/>
        </w:rPr>
      </w:pPr>
      <w:r>
        <w:rPr>
          <w:lang w:bidi="ar-SA"/>
        </w:rPr>
        <w:t xml:space="preserve"> </w:t>
      </w:r>
    </w:p>
    <w:p w14:paraId="531E435C" w14:textId="7C67273A" w:rsidR="004251B7" w:rsidRDefault="004251B7" w:rsidP="004251B7">
      <w:pPr>
        <w:rPr>
          <w:lang w:bidi="ar-SA"/>
        </w:rPr>
      </w:pPr>
      <w:r>
        <w:rPr>
          <w:lang w:bidi="ar-SA"/>
        </w:rPr>
        <w:t>FSANZ has presented the draft framework to provide a starting point for meaningful discussion and input from stakeholders to inform a decision in relation to preparation of a draft variation to the Code.</w:t>
      </w:r>
    </w:p>
    <w:p w14:paraId="4B0AF444" w14:textId="77777777" w:rsidR="004251B7" w:rsidRDefault="004251B7" w:rsidP="004251B7">
      <w:pPr>
        <w:rPr>
          <w:lang w:bidi="ar-SA"/>
        </w:rPr>
      </w:pPr>
    </w:p>
    <w:p w14:paraId="355C05DE" w14:textId="224EB821" w:rsidR="007D7093" w:rsidRDefault="00C2437B" w:rsidP="00990124">
      <w:r>
        <w:t>A qualitative assessment of the costs and benefits of introducing a new approach to novel foods has been prepared (SD1). Insufficient information is available currently to determine the net benefit of the options to the community. However this preliminary analysis indicates that Option 3 may perform better than the other options against the objective of providing a cost-effective way of protecting public health and safety.</w:t>
      </w:r>
    </w:p>
    <w:p w14:paraId="2FBDB3CA" w14:textId="77777777" w:rsidR="00C2437B" w:rsidRDefault="00C2437B" w:rsidP="00990124"/>
    <w:p w14:paraId="64114721" w14:textId="57E7F627" w:rsidR="00C17932" w:rsidRDefault="00F301CF" w:rsidP="00C17932">
      <w:pPr>
        <w:pStyle w:val="Heading1"/>
      </w:pPr>
      <w:bookmarkStart w:id="50" w:name="_Toc436754836"/>
      <w:r>
        <w:t>5</w:t>
      </w:r>
      <w:r w:rsidR="00C17932">
        <w:tab/>
        <w:t>FSANZ Act assessment requirements</w:t>
      </w:r>
      <w:bookmarkEnd w:id="50"/>
    </w:p>
    <w:p w14:paraId="05E2A4D8" w14:textId="77777777" w:rsidR="00C17932" w:rsidRPr="008B4835" w:rsidRDefault="00C17932" w:rsidP="00C17932">
      <w:bookmarkStart w:id="51" w:name="_Toc300761897"/>
      <w:bookmarkStart w:id="52" w:name="_Toc300933440"/>
      <w:bookmarkStart w:id="53" w:name="_Toc393445372"/>
      <w:r w:rsidRPr="005328CB">
        <w:t xml:space="preserve">When assessing </w:t>
      </w:r>
      <w:r w:rsidRPr="008B4835">
        <w:t xml:space="preserve">this Proposal, FSANZ has had regard to the </w:t>
      </w:r>
      <w:r w:rsidRPr="008B4835" w:rsidDel="00932F14">
        <w:t xml:space="preserve">following </w:t>
      </w:r>
      <w:r w:rsidRPr="008B4835">
        <w:t>matters in section 59 of the FSANZ Act:</w:t>
      </w:r>
    </w:p>
    <w:p w14:paraId="62DA9C80" w14:textId="79803851" w:rsidR="00C17932" w:rsidRPr="008B4835" w:rsidRDefault="00F301CF" w:rsidP="00C17932">
      <w:pPr>
        <w:pStyle w:val="Heading2"/>
        <w:rPr>
          <w:lang w:eastAsia="en-AU"/>
        </w:rPr>
      </w:pPr>
      <w:bookmarkStart w:id="54" w:name="_Toc425174942"/>
      <w:bookmarkStart w:id="55" w:name="_Toc436754837"/>
      <w:r>
        <w:rPr>
          <w:lang w:eastAsia="en-AU"/>
        </w:rPr>
        <w:t>5</w:t>
      </w:r>
      <w:r w:rsidR="00C17932" w:rsidRPr="008B4835">
        <w:rPr>
          <w:lang w:eastAsia="en-AU"/>
        </w:rPr>
        <w:t>.1</w:t>
      </w:r>
      <w:r w:rsidR="00C17932" w:rsidRPr="008B4835">
        <w:rPr>
          <w:lang w:eastAsia="en-AU"/>
        </w:rPr>
        <w:tab/>
        <w:t>Section 59</w:t>
      </w:r>
      <w:bookmarkEnd w:id="54"/>
      <w:bookmarkEnd w:id="55"/>
    </w:p>
    <w:p w14:paraId="77B2D6E1" w14:textId="340E1060" w:rsidR="00C17932" w:rsidRPr="005328CB" w:rsidRDefault="00F301CF" w:rsidP="000D0DA9">
      <w:pPr>
        <w:pStyle w:val="Heading3"/>
      </w:pPr>
      <w:bookmarkStart w:id="56" w:name="_Toc436754838"/>
      <w:r>
        <w:t>5</w:t>
      </w:r>
      <w:r w:rsidR="00C17932">
        <w:t>.1.1</w:t>
      </w:r>
      <w:r w:rsidR="00C17932" w:rsidRPr="005328CB">
        <w:tab/>
        <w:t>Cost benefit analysis</w:t>
      </w:r>
      <w:bookmarkEnd w:id="56"/>
    </w:p>
    <w:p w14:paraId="22EA63A9" w14:textId="41D68E8A" w:rsidR="00C17932" w:rsidRDefault="00C17932" w:rsidP="00C17932">
      <w:r>
        <w:t xml:space="preserve">FSANZ has prepared a qualitative assessment of costs and benefits of the options described in section </w:t>
      </w:r>
      <w:r w:rsidR="00F301CF">
        <w:t>4</w:t>
      </w:r>
      <w:r w:rsidR="004276FC">
        <w:t>.2</w:t>
      </w:r>
      <w:r>
        <w:t xml:space="preserve"> above (SD1). </w:t>
      </w:r>
      <w:r w:rsidR="00C13439">
        <w:t>The cost benefit</w:t>
      </w:r>
      <w:r w:rsidR="0001237B">
        <w:t xml:space="preserve"> assessment </w:t>
      </w:r>
      <w:r w:rsidR="009F0162">
        <w:t>suggests</w:t>
      </w:r>
      <w:r w:rsidR="0001237B">
        <w:t xml:space="preserve"> that </w:t>
      </w:r>
      <w:r w:rsidR="002035D3">
        <w:t>maintenance of the</w:t>
      </w:r>
      <w:r w:rsidR="0001237B">
        <w:t xml:space="preserve"> status quo </w:t>
      </w:r>
      <w:r w:rsidR="002035D3">
        <w:t>is not an option</w:t>
      </w:r>
      <w:r w:rsidR="0001237B">
        <w:t xml:space="preserve">. </w:t>
      </w:r>
      <w:r w:rsidR="009F0162" w:rsidRPr="00E3040B">
        <w:rPr>
          <w:rFonts w:eastAsia="Calibri"/>
        </w:rPr>
        <w:t xml:space="preserve">The analysis </w:t>
      </w:r>
      <w:r w:rsidR="009F0162">
        <w:rPr>
          <w:rFonts w:eastAsia="Calibri"/>
        </w:rPr>
        <w:t xml:space="preserve">also </w:t>
      </w:r>
      <w:r w:rsidR="009F0162" w:rsidRPr="00E3040B">
        <w:rPr>
          <w:rFonts w:eastAsia="Calibri"/>
        </w:rPr>
        <w:t>suggests that</w:t>
      </w:r>
      <w:r w:rsidR="009F0162" w:rsidRPr="000708C0">
        <w:rPr>
          <w:rFonts w:eastAsia="Calibri"/>
        </w:rPr>
        <w:t xml:space="preserve"> the potential costs of either of the two </w:t>
      </w:r>
      <w:r w:rsidR="00C13439">
        <w:rPr>
          <w:rFonts w:eastAsia="Calibri"/>
        </w:rPr>
        <w:t xml:space="preserve">other </w:t>
      </w:r>
      <w:r w:rsidR="009F0162">
        <w:rPr>
          <w:rFonts w:eastAsia="Calibri"/>
        </w:rPr>
        <w:t>identified options</w:t>
      </w:r>
      <w:r w:rsidR="009F0162" w:rsidRPr="000708C0">
        <w:rPr>
          <w:rFonts w:eastAsia="Calibri"/>
        </w:rPr>
        <w:t xml:space="preserve"> will not exceed the value of the anticipated direct and indirect benefits to the public</w:t>
      </w:r>
      <w:r w:rsidR="009F0162">
        <w:t xml:space="preserve">. </w:t>
      </w:r>
      <w:r>
        <w:t xml:space="preserve">FSANZ seeks comments on this qualitative assessment </w:t>
      </w:r>
      <w:r w:rsidR="00211B77">
        <w:t xml:space="preserve">in order </w:t>
      </w:r>
      <w:r>
        <w:t xml:space="preserve">to inform </w:t>
      </w:r>
      <w:r w:rsidR="0001237B">
        <w:t xml:space="preserve">a decision in relation to preparation of a draft variation which, if prepared, will require </w:t>
      </w:r>
      <w:r>
        <w:t>development of a consultation Regulat</w:t>
      </w:r>
      <w:r w:rsidR="00F301CF">
        <w:t>ion</w:t>
      </w:r>
      <w:r>
        <w:t xml:space="preserve"> Impact Statement </w:t>
      </w:r>
      <w:r w:rsidR="00C13439">
        <w:t>and</w:t>
      </w:r>
      <w:r>
        <w:t xml:space="preserve"> </w:t>
      </w:r>
      <w:r w:rsidR="0001237B">
        <w:t xml:space="preserve">a </w:t>
      </w:r>
      <w:r>
        <w:t>2</w:t>
      </w:r>
      <w:r w:rsidRPr="000A7AFD">
        <w:rPr>
          <w:vertAlign w:val="superscript"/>
        </w:rPr>
        <w:t>nd</w:t>
      </w:r>
      <w:r>
        <w:t xml:space="preserve"> </w:t>
      </w:r>
      <w:r w:rsidR="00F301CF">
        <w:t>call for submissions</w:t>
      </w:r>
      <w:r>
        <w:t xml:space="preserve">. </w:t>
      </w:r>
    </w:p>
    <w:p w14:paraId="14FE0FDB" w14:textId="013B6F59" w:rsidR="00C17932" w:rsidRPr="005328CB" w:rsidRDefault="00F301CF" w:rsidP="000D0DA9">
      <w:pPr>
        <w:pStyle w:val="Heading3"/>
      </w:pPr>
      <w:bookmarkStart w:id="57" w:name="_Toc436754839"/>
      <w:r>
        <w:t>5</w:t>
      </w:r>
      <w:r w:rsidR="00C17932">
        <w:t>.1.2</w:t>
      </w:r>
      <w:r w:rsidR="00C17932" w:rsidRPr="005328CB">
        <w:tab/>
        <w:t>Other measures</w:t>
      </w:r>
      <w:bookmarkEnd w:id="57"/>
    </w:p>
    <w:p w14:paraId="2EB61582" w14:textId="77777777" w:rsidR="00F301CF" w:rsidRDefault="00C17932" w:rsidP="00C17932">
      <w:r>
        <w:t xml:space="preserve">FSANZ has not </w:t>
      </w:r>
      <w:r w:rsidR="00C13439">
        <w:t xml:space="preserve">yet </w:t>
      </w:r>
      <w:r>
        <w:t xml:space="preserve">made a decision on the development of a food regulatory measure. </w:t>
      </w:r>
      <w:r w:rsidR="00F301CF">
        <w:br w:type="page"/>
      </w:r>
    </w:p>
    <w:p w14:paraId="71B306A5" w14:textId="7A6924CF" w:rsidR="00C17932" w:rsidRPr="00DA155A" w:rsidRDefault="009F0162" w:rsidP="00C17932">
      <w:r>
        <w:rPr>
          <w:rFonts w:eastAsia="Calibri"/>
        </w:rPr>
        <w:lastRenderedPageBreak/>
        <w:t>However, t</w:t>
      </w:r>
      <w:r w:rsidRPr="00F321A1">
        <w:rPr>
          <w:rFonts w:eastAsia="Calibri"/>
        </w:rPr>
        <w:t xml:space="preserve">he preliminary cost benefit analysis suggests </w:t>
      </w:r>
      <w:r w:rsidRPr="00425067">
        <w:rPr>
          <w:rFonts w:eastAsia="Calibri"/>
        </w:rPr>
        <w:t xml:space="preserve">that </w:t>
      </w:r>
      <w:r>
        <w:rPr>
          <w:rFonts w:eastAsia="Calibri"/>
        </w:rPr>
        <w:t xml:space="preserve">Option 3, the </w:t>
      </w:r>
      <w:r w:rsidR="00B179DE">
        <w:rPr>
          <w:rFonts w:eastAsia="Calibri"/>
        </w:rPr>
        <w:t xml:space="preserve">alternative </w:t>
      </w:r>
      <w:r>
        <w:rPr>
          <w:rFonts w:eastAsia="Calibri"/>
        </w:rPr>
        <w:t>graduated risk approach m</w:t>
      </w:r>
      <w:r w:rsidRPr="00425067">
        <w:rPr>
          <w:rFonts w:eastAsia="Calibri"/>
        </w:rPr>
        <w:t>easure</w:t>
      </w:r>
      <w:r>
        <w:rPr>
          <w:rFonts w:eastAsia="Calibri"/>
        </w:rPr>
        <w:t>,</w:t>
      </w:r>
      <w:r w:rsidRPr="00425067">
        <w:rPr>
          <w:rFonts w:eastAsia="Calibri"/>
        </w:rPr>
        <w:t xml:space="preserve"> is the most cost-effective response to the regulatory issue that has been identified</w:t>
      </w:r>
      <w:r>
        <w:t xml:space="preserve"> </w:t>
      </w:r>
      <w:r w:rsidR="00AA55A8">
        <w:t>(see above)</w:t>
      </w:r>
      <w:r w:rsidR="0001237B">
        <w:t xml:space="preserve">. FSANZ at this stage </w:t>
      </w:r>
      <w:r>
        <w:t xml:space="preserve">remains </w:t>
      </w:r>
      <w:r w:rsidR="0001237B">
        <w:t xml:space="preserve">unaware of any </w:t>
      </w:r>
      <w:r w:rsidR="00AA55A8">
        <w:t xml:space="preserve">measure which would be more cost effective in addressing </w:t>
      </w:r>
      <w:r>
        <w:t>that issue</w:t>
      </w:r>
      <w:r w:rsidR="00AA55A8">
        <w:t>.</w:t>
      </w:r>
      <w:r w:rsidR="0001237B">
        <w:t xml:space="preserve"> </w:t>
      </w:r>
      <w:r w:rsidR="00211B77">
        <w:t>FSANZ seeks comments on this assessment to inform its decision on preparation of a draft variation</w:t>
      </w:r>
      <w:r w:rsidR="00C17932">
        <w:t xml:space="preserve">. </w:t>
      </w:r>
    </w:p>
    <w:p w14:paraId="7C12C9B8" w14:textId="3EF16E2E" w:rsidR="00C17932" w:rsidRPr="005328CB" w:rsidRDefault="00F301CF" w:rsidP="000D0DA9">
      <w:pPr>
        <w:pStyle w:val="Heading3"/>
      </w:pPr>
      <w:bookmarkStart w:id="58" w:name="_Toc436754840"/>
      <w:r>
        <w:t>5</w:t>
      </w:r>
      <w:r w:rsidR="00C17932">
        <w:t>.</w:t>
      </w:r>
      <w:r w:rsidR="00C17932" w:rsidRPr="005328CB">
        <w:t>1.3</w:t>
      </w:r>
      <w:r w:rsidR="00C17932" w:rsidRPr="005328CB">
        <w:tab/>
        <w:t>Any relevant New Zealand standards</w:t>
      </w:r>
      <w:bookmarkEnd w:id="58"/>
    </w:p>
    <w:p w14:paraId="77D199B1" w14:textId="77777777" w:rsidR="00C17932" w:rsidRPr="005328CB" w:rsidRDefault="00C17932" w:rsidP="00C17932">
      <w:pPr>
        <w:rPr>
          <w:lang w:bidi="ar-SA"/>
        </w:rPr>
      </w:pPr>
      <w:r>
        <w:rPr>
          <w:lang w:bidi="ar-SA"/>
        </w:rPr>
        <w:t xml:space="preserve">FSANZ has had regard to the </w:t>
      </w:r>
      <w:r w:rsidRPr="00D803A8">
        <w:rPr>
          <w:i/>
        </w:rPr>
        <w:t>New Zealand Food (Supplemented Food) Standard 2013</w:t>
      </w:r>
      <w:r>
        <w:t xml:space="preserve">, which is a New Zealand only standard. </w:t>
      </w:r>
      <w:r>
        <w:rPr>
          <w:lang w:bidi="ar-SA"/>
        </w:rPr>
        <w:t>Standard 1.5.1 is a joint Standard</w:t>
      </w:r>
      <w:r w:rsidRPr="005328CB">
        <w:rPr>
          <w:lang w:bidi="ar-SA"/>
        </w:rPr>
        <w:t>.</w:t>
      </w:r>
      <w:r>
        <w:rPr>
          <w:lang w:bidi="ar-SA"/>
        </w:rPr>
        <w:t xml:space="preserve"> </w:t>
      </w:r>
    </w:p>
    <w:p w14:paraId="3F021343" w14:textId="4306333D" w:rsidR="00C17932" w:rsidRPr="005328CB" w:rsidRDefault="00F301CF" w:rsidP="000D0DA9">
      <w:pPr>
        <w:pStyle w:val="Heading3"/>
      </w:pPr>
      <w:bookmarkStart w:id="59" w:name="_Toc436754841"/>
      <w:r>
        <w:t>5</w:t>
      </w:r>
      <w:r w:rsidR="00C17932">
        <w:t>.</w:t>
      </w:r>
      <w:r w:rsidR="00C17932" w:rsidRPr="005328CB">
        <w:t>1.4</w:t>
      </w:r>
      <w:r w:rsidR="00C17932" w:rsidRPr="005328CB">
        <w:tab/>
        <w:t>Any other relevant matters</w:t>
      </w:r>
      <w:bookmarkEnd w:id="59"/>
    </w:p>
    <w:p w14:paraId="4DA9C3D6" w14:textId="77777777" w:rsidR="00C17932" w:rsidRPr="005328CB" w:rsidRDefault="00C17932" w:rsidP="00C17932">
      <w:pPr>
        <w:rPr>
          <w:lang w:bidi="ar-SA"/>
        </w:rPr>
      </w:pPr>
      <w:r>
        <w:rPr>
          <w:lang w:bidi="ar-SA"/>
        </w:rPr>
        <w:t>See matters considered below</w:t>
      </w:r>
      <w:r w:rsidRPr="005328CB">
        <w:rPr>
          <w:lang w:bidi="ar-SA"/>
        </w:rPr>
        <w:t>.</w:t>
      </w:r>
    </w:p>
    <w:p w14:paraId="04CAC210" w14:textId="21877ED1" w:rsidR="00C17932" w:rsidRPr="00F626F6" w:rsidRDefault="00F301CF" w:rsidP="00C17932">
      <w:pPr>
        <w:pStyle w:val="Heading2"/>
      </w:pPr>
      <w:bookmarkStart w:id="60" w:name="_Toc436754842"/>
      <w:r>
        <w:t>5</w:t>
      </w:r>
      <w:r w:rsidR="00C17932">
        <w:t>.2</w:t>
      </w:r>
      <w:r w:rsidR="00C17932" w:rsidRPr="00F626F6">
        <w:tab/>
        <w:t>Addressing FSANZ’s objectives</w:t>
      </w:r>
      <w:bookmarkEnd w:id="51"/>
      <w:bookmarkEnd w:id="52"/>
      <w:r w:rsidR="00C17932" w:rsidRPr="00F626F6">
        <w:t xml:space="preserve"> for standards-setting</w:t>
      </w:r>
      <w:bookmarkEnd w:id="53"/>
      <w:bookmarkEnd w:id="60"/>
    </w:p>
    <w:p w14:paraId="718380B4" w14:textId="77777777" w:rsidR="00C17932" w:rsidRPr="00914030" w:rsidRDefault="00C17932" w:rsidP="00C17932">
      <w:r w:rsidRPr="00914030">
        <w:rPr>
          <w:rFonts w:cs="Arial"/>
        </w:rPr>
        <w:t xml:space="preserve">FSANZ has also </w:t>
      </w:r>
      <w:r w:rsidRPr="00914030">
        <w:t xml:space="preserve">considered the three objectives in subsection 18(1) of the </w:t>
      </w:r>
      <w:r>
        <w:t>FSANZ Act during the assessment.</w:t>
      </w:r>
    </w:p>
    <w:p w14:paraId="5CED6FA0" w14:textId="28BEB3EF" w:rsidR="00C17932" w:rsidRPr="002100DD" w:rsidRDefault="00F301CF" w:rsidP="000D0DA9">
      <w:pPr>
        <w:pStyle w:val="Heading3"/>
      </w:pPr>
      <w:bookmarkStart w:id="61" w:name="_Toc297029117"/>
      <w:bookmarkStart w:id="62" w:name="_Toc300761898"/>
      <w:bookmarkStart w:id="63" w:name="_Toc300933441"/>
      <w:bookmarkStart w:id="64" w:name="_Toc393445373"/>
      <w:bookmarkStart w:id="65" w:name="_Toc436754843"/>
      <w:r>
        <w:t>5</w:t>
      </w:r>
      <w:r w:rsidR="00C17932" w:rsidRPr="002100DD">
        <w:t>.2</w:t>
      </w:r>
      <w:r w:rsidR="00C17932">
        <w:t>.1</w:t>
      </w:r>
      <w:r w:rsidR="00C17932" w:rsidRPr="002100DD">
        <w:tab/>
      </w:r>
      <w:r w:rsidR="00C17932" w:rsidRPr="002100DD">
        <w:tab/>
        <w:t>Protection of public health and safety</w:t>
      </w:r>
      <w:bookmarkEnd w:id="61"/>
      <w:bookmarkEnd w:id="62"/>
      <w:bookmarkEnd w:id="63"/>
      <w:bookmarkEnd w:id="64"/>
      <w:bookmarkEnd w:id="65"/>
    </w:p>
    <w:p w14:paraId="1BE03F18" w14:textId="77777777" w:rsidR="00C17932" w:rsidRPr="00737040" w:rsidRDefault="00C17932" w:rsidP="00C17932">
      <w:r>
        <w:t>T</w:t>
      </w:r>
      <w:r w:rsidRPr="00737040">
        <w:t>his Proposal</w:t>
      </w:r>
      <w:r>
        <w:t xml:space="preserve"> is intended to improve protection of public health and safety by better managing the entry and removal of new foods or substances for which safety has not been established to or from the food supply. </w:t>
      </w:r>
      <w:r w:rsidRPr="00737040">
        <w:t xml:space="preserve"> </w:t>
      </w:r>
    </w:p>
    <w:p w14:paraId="04E139C3" w14:textId="4B485403" w:rsidR="00C17932" w:rsidRPr="00914030" w:rsidRDefault="00F301CF" w:rsidP="000D0DA9">
      <w:pPr>
        <w:pStyle w:val="Heading3"/>
      </w:pPr>
      <w:bookmarkStart w:id="66" w:name="_Toc300761899"/>
      <w:bookmarkStart w:id="67" w:name="_Toc300933442"/>
      <w:bookmarkStart w:id="68" w:name="_Toc393445374"/>
      <w:bookmarkStart w:id="69" w:name="_Toc436754844"/>
      <w:r>
        <w:t>5</w:t>
      </w:r>
      <w:r w:rsidR="00C17932">
        <w:t>.2.2</w:t>
      </w:r>
      <w:r w:rsidR="00C17932" w:rsidRPr="00914030">
        <w:tab/>
        <w:t>The provision of adequate information relating to food to enable consumers to make informed choices</w:t>
      </w:r>
      <w:bookmarkEnd w:id="66"/>
      <w:bookmarkEnd w:id="67"/>
      <w:bookmarkEnd w:id="68"/>
      <w:bookmarkEnd w:id="69"/>
    </w:p>
    <w:p w14:paraId="4F71B09A" w14:textId="77777777" w:rsidR="00C17932" w:rsidRDefault="00C17932" w:rsidP="00C17932">
      <w:r>
        <w:t xml:space="preserve">Not relevant. </w:t>
      </w:r>
    </w:p>
    <w:p w14:paraId="5790D7B7" w14:textId="3A98B5B9" w:rsidR="00C17932" w:rsidRPr="00216FCF" w:rsidRDefault="00F301CF" w:rsidP="000D0DA9">
      <w:pPr>
        <w:pStyle w:val="Heading3"/>
      </w:pPr>
      <w:bookmarkStart w:id="70" w:name="_Toc300761900"/>
      <w:bookmarkStart w:id="71" w:name="_Toc300933443"/>
      <w:bookmarkStart w:id="72" w:name="_Toc393445375"/>
      <w:bookmarkStart w:id="73" w:name="_Toc436754845"/>
      <w:r>
        <w:t>5</w:t>
      </w:r>
      <w:r w:rsidR="00C17932" w:rsidRPr="00216FCF">
        <w:t>.</w:t>
      </w:r>
      <w:r w:rsidR="00C17932">
        <w:t>2.3</w:t>
      </w:r>
      <w:r w:rsidR="00C17932" w:rsidRPr="00216FCF">
        <w:tab/>
        <w:t>The prevention of misleading or deceptive conduct</w:t>
      </w:r>
      <w:bookmarkEnd w:id="70"/>
      <w:bookmarkEnd w:id="71"/>
      <w:bookmarkEnd w:id="72"/>
      <w:bookmarkEnd w:id="73"/>
    </w:p>
    <w:p w14:paraId="6AB0642A" w14:textId="77777777" w:rsidR="00C17932" w:rsidRDefault="00C17932" w:rsidP="00C17932">
      <w:r>
        <w:t>Not relevant</w:t>
      </w:r>
    </w:p>
    <w:p w14:paraId="0BFF938D" w14:textId="3FC8FFDA" w:rsidR="00C17932" w:rsidRPr="00914030" w:rsidRDefault="00F301CF" w:rsidP="00C17932">
      <w:pPr>
        <w:pStyle w:val="Heading2"/>
      </w:pPr>
      <w:bookmarkStart w:id="74" w:name="_Toc300761901"/>
      <w:bookmarkStart w:id="75" w:name="_Toc300933444"/>
      <w:bookmarkStart w:id="76" w:name="_Toc393445376"/>
      <w:bookmarkStart w:id="77" w:name="_Toc436754846"/>
      <w:r>
        <w:t>5</w:t>
      </w:r>
      <w:r w:rsidR="00C17932">
        <w:t>.3</w:t>
      </w:r>
      <w:r w:rsidR="00C17932" w:rsidRPr="00914030">
        <w:tab/>
        <w:t xml:space="preserve">Subsection 18(2) </w:t>
      </w:r>
      <w:bookmarkEnd w:id="74"/>
      <w:bookmarkEnd w:id="75"/>
      <w:r w:rsidR="00C17932" w:rsidRPr="00914030">
        <w:t>considerations</w:t>
      </w:r>
      <w:bookmarkEnd w:id="76"/>
      <w:bookmarkEnd w:id="77"/>
    </w:p>
    <w:p w14:paraId="66CC381A" w14:textId="77777777" w:rsidR="00C17932" w:rsidRPr="00914030" w:rsidRDefault="00C17932" w:rsidP="00C17932">
      <w:pPr>
        <w:rPr>
          <w:rFonts w:cs="Arial"/>
        </w:rPr>
      </w:pPr>
      <w:r w:rsidRPr="00914030">
        <w:rPr>
          <w:rFonts w:cs="Arial"/>
        </w:rPr>
        <w:t xml:space="preserve">FSANZ has also had regard to the </w:t>
      </w:r>
      <w:r>
        <w:rPr>
          <w:rFonts w:cs="Arial"/>
        </w:rPr>
        <w:t>matters listed</w:t>
      </w:r>
      <w:r w:rsidRPr="00914030">
        <w:rPr>
          <w:rFonts w:cs="Arial"/>
        </w:rPr>
        <w:t xml:space="preserve"> in subsection 18(2):</w:t>
      </w:r>
    </w:p>
    <w:p w14:paraId="439119E8" w14:textId="77777777" w:rsidR="00C17932" w:rsidRDefault="00C17932" w:rsidP="004276FC">
      <w:pPr>
        <w:pStyle w:val="FSBullet1"/>
        <w:numPr>
          <w:ilvl w:val="0"/>
          <w:numId w:val="0"/>
        </w:numPr>
        <w:rPr>
          <w:b/>
        </w:rPr>
      </w:pPr>
    </w:p>
    <w:p w14:paraId="309BB8AB" w14:textId="77777777" w:rsidR="00C17932" w:rsidRPr="000A7AFD" w:rsidRDefault="00C17932" w:rsidP="00C17932">
      <w:pPr>
        <w:pStyle w:val="FSBullet1"/>
        <w:rPr>
          <w:b/>
        </w:rPr>
      </w:pPr>
      <w:r w:rsidRPr="000A7AFD">
        <w:rPr>
          <w:b/>
        </w:rPr>
        <w:t>the need for standards to be based on risk analysis using the best available scientific evidence</w:t>
      </w:r>
    </w:p>
    <w:p w14:paraId="6108345D" w14:textId="77777777" w:rsidR="00C17932" w:rsidRDefault="00C17932" w:rsidP="00C17932">
      <w:pPr>
        <w:ind w:left="567"/>
      </w:pPr>
    </w:p>
    <w:p w14:paraId="12CDAF20" w14:textId="789939B8" w:rsidR="00F301CF" w:rsidRDefault="00675C18" w:rsidP="00C17932">
      <w:pPr>
        <w:rPr>
          <w:szCs w:val="22"/>
        </w:rPr>
      </w:pPr>
      <w:r>
        <w:rPr>
          <w:szCs w:val="22"/>
        </w:rPr>
        <w:t>The princip</w:t>
      </w:r>
      <w:r w:rsidR="00DA155A">
        <w:rPr>
          <w:szCs w:val="22"/>
        </w:rPr>
        <w:t>le</w:t>
      </w:r>
      <w:r>
        <w:rPr>
          <w:szCs w:val="22"/>
        </w:rPr>
        <w:t xml:space="preserve"> of pre-market assessment of certain foods, such as nutritive substances and novel foods has previously been established in the development of the existing standards in the Code and similar international regulations. FSANZ has assessed the risk associated with the uncertainty created by the current nutritive substance and novel food provisions in the Code. </w:t>
      </w:r>
      <w:r w:rsidR="005F5218">
        <w:rPr>
          <w:szCs w:val="22"/>
        </w:rPr>
        <w:t xml:space="preserve">While FSANZ considers a pre-market assessment is warranted for certain foods, an alternative approach to the current regulation of nutritive substances and novel foods in the Code may better address the risks identified in FSANZ’s assessment. </w:t>
      </w:r>
      <w:r w:rsidR="00A41653">
        <w:rPr>
          <w:szCs w:val="22"/>
        </w:rPr>
        <w:t xml:space="preserve">The draft framework accompanying option 3 has been informed by the analysis of over a decade of experience with the novel food standard, including consideration of the views provided by the NFRG and ACNF. </w:t>
      </w:r>
      <w:r w:rsidR="00AA55A8">
        <w:rPr>
          <w:szCs w:val="22"/>
        </w:rPr>
        <w:t>The responses to this call for submissions will inform the decision in relation to the preparation of a draft variation which, if prepared, will be subject to</w:t>
      </w:r>
      <w:r w:rsidR="005F5218">
        <w:rPr>
          <w:szCs w:val="22"/>
        </w:rPr>
        <w:t xml:space="preserve"> </w:t>
      </w:r>
      <w:r w:rsidR="00AA55A8">
        <w:rPr>
          <w:szCs w:val="22"/>
        </w:rPr>
        <w:t>a</w:t>
      </w:r>
      <w:r w:rsidR="005F5218">
        <w:rPr>
          <w:szCs w:val="22"/>
        </w:rPr>
        <w:t xml:space="preserve"> second call for submissions and </w:t>
      </w:r>
      <w:r w:rsidR="00AA55A8">
        <w:rPr>
          <w:szCs w:val="22"/>
        </w:rPr>
        <w:t xml:space="preserve">further </w:t>
      </w:r>
      <w:r w:rsidR="005F5218">
        <w:rPr>
          <w:szCs w:val="22"/>
        </w:rPr>
        <w:t xml:space="preserve">risk analysis using the best available scientific evidence and experience of stakeholders. </w:t>
      </w:r>
      <w:r w:rsidR="00F301CF">
        <w:rPr>
          <w:szCs w:val="22"/>
        </w:rPr>
        <w:br w:type="page"/>
      </w:r>
    </w:p>
    <w:p w14:paraId="3A614550" w14:textId="77777777" w:rsidR="00C17932" w:rsidRPr="000A7AFD" w:rsidRDefault="00C17932" w:rsidP="00C17932">
      <w:pPr>
        <w:pStyle w:val="FSBullet1"/>
        <w:rPr>
          <w:b/>
        </w:rPr>
      </w:pPr>
      <w:r w:rsidRPr="000A7AFD">
        <w:rPr>
          <w:b/>
        </w:rPr>
        <w:lastRenderedPageBreak/>
        <w:t>the promotion of consistency between domestic and international food standards</w:t>
      </w:r>
    </w:p>
    <w:p w14:paraId="40ACE3DB" w14:textId="77777777" w:rsidR="00C17932" w:rsidRDefault="00C17932" w:rsidP="00C17932">
      <w:pPr>
        <w:ind w:left="567"/>
      </w:pPr>
    </w:p>
    <w:p w14:paraId="43AE2193" w14:textId="77777777" w:rsidR="00C17932" w:rsidRDefault="00C17932" w:rsidP="00C17932">
      <w:pPr>
        <w:tabs>
          <w:tab w:val="left" w:pos="1560"/>
        </w:tabs>
      </w:pPr>
      <w:r>
        <w:t xml:space="preserve">This proposal has drawn on elements of international regulatory systems and considered consistency with these where possible within the Australia New Zealand legislative environment. There is potential for closer alignment of the </w:t>
      </w:r>
      <w:r w:rsidRPr="00F301CF">
        <w:t xml:space="preserve">New Zealand </w:t>
      </w:r>
      <w:r w:rsidRPr="00D803A8">
        <w:rPr>
          <w:i/>
        </w:rPr>
        <w:t>Food (Supplemented Food) Standard 2013</w:t>
      </w:r>
      <w:r>
        <w:t xml:space="preserve"> with the Code. </w:t>
      </w:r>
    </w:p>
    <w:p w14:paraId="0A4AD627" w14:textId="77777777" w:rsidR="00C17932" w:rsidRPr="00737040" w:rsidRDefault="00C17932" w:rsidP="00C17932">
      <w:pPr>
        <w:rPr>
          <w:lang w:bidi="ar-SA"/>
        </w:rPr>
      </w:pPr>
    </w:p>
    <w:p w14:paraId="74065029" w14:textId="77777777" w:rsidR="00C17932" w:rsidRPr="000A7AFD" w:rsidRDefault="00C17932" w:rsidP="00C17932">
      <w:pPr>
        <w:pStyle w:val="FSBullet1"/>
        <w:rPr>
          <w:b/>
        </w:rPr>
      </w:pPr>
      <w:r w:rsidRPr="000A7AFD">
        <w:rPr>
          <w:b/>
        </w:rPr>
        <w:t>the desirability of an efficient and internationally competitive food industry</w:t>
      </w:r>
    </w:p>
    <w:p w14:paraId="313E255D" w14:textId="77777777" w:rsidR="00C17932" w:rsidRDefault="00C17932" w:rsidP="00C17932">
      <w:pPr>
        <w:ind w:left="567"/>
      </w:pPr>
    </w:p>
    <w:p w14:paraId="382C2CFD" w14:textId="77777777" w:rsidR="00C17932" w:rsidRPr="00DA155A" w:rsidRDefault="00C17932" w:rsidP="00C17932">
      <w:r>
        <w:t>An aim of this</w:t>
      </w:r>
      <w:r w:rsidRPr="008C1F26">
        <w:t xml:space="preserve"> proposal </w:t>
      </w:r>
      <w:r>
        <w:t>is to facilitate efficiency and an internationally competitive market by creating a more level playing field for the New Zealand and Australian food industry and by being better prepared for f</w:t>
      </w:r>
      <w:r w:rsidR="004276FC">
        <w:t>uture trends and development. The draft alternative framework for regulating nutritive substances and novel foods (option 3)</w:t>
      </w:r>
      <w:r>
        <w:t xml:space="preserve"> </w:t>
      </w:r>
      <w:r w:rsidR="005F5218">
        <w:t xml:space="preserve">aims to </w:t>
      </w:r>
      <w:r w:rsidR="004276FC">
        <w:t>provide a r</w:t>
      </w:r>
      <w:r>
        <w:t xml:space="preserve">egulatory environment that </w:t>
      </w:r>
      <w:r w:rsidR="005F5218">
        <w:t xml:space="preserve">protects public health and safety while being </w:t>
      </w:r>
      <w:r w:rsidR="004276FC">
        <w:t>proportionate with risk</w:t>
      </w:r>
      <w:r w:rsidR="005F5218">
        <w:t xml:space="preserve">; </w:t>
      </w:r>
      <w:r>
        <w:t>more timely</w:t>
      </w:r>
      <w:r w:rsidR="005F5218">
        <w:t xml:space="preserve"> and </w:t>
      </w:r>
      <w:r>
        <w:t>cost effective</w:t>
      </w:r>
      <w:r w:rsidR="005F5218">
        <w:t>;</w:t>
      </w:r>
      <w:r>
        <w:t xml:space="preserve"> and consistent with minimum effective regulation. It also seeks to maintain the facility for protection of commercially sensitive information and recognition of industry’s intellectual property, as far as possible.</w:t>
      </w:r>
    </w:p>
    <w:p w14:paraId="11C6B556" w14:textId="77777777" w:rsidR="00C17932" w:rsidRPr="00737040" w:rsidRDefault="00C17932" w:rsidP="00C17932">
      <w:pPr>
        <w:rPr>
          <w:lang w:bidi="ar-SA"/>
        </w:rPr>
      </w:pPr>
    </w:p>
    <w:p w14:paraId="0F276C67" w14:textId="77777777" w:rsidR="00C17932" w:rsidRPr="000A7AFD" w:rsidRDefault="00C17932" w:rsidP="00C17932">
      <w:pPr>
        <w:pStyle w:val="FSBullet1"/>
        <w:rPr>
          <w:b/>
        </w:rPr>
      </w:pPr>
      <w:r w:rsidRPr="000A7AFD">
        <w:rPr>
          <w:b/>
        </w:rPr>
        <w:t>the promotion of fair trading in food</w:t>
      </w:r>
    </w:p>
    <w:p w14:paraId="76765BD2" w14:textId="77777777" w:rsidR="00C17932" w:rsidRDefault="00C17932" w:rsidP="00C17932">
      <w:pPr>
        <w:ind w:left="567"/>
      </w:pPr>
    </w:p>
    <w:p w14:paraId="35AD6E2B" w14:textId="08C0E675" w:rsidR="00C17932" w:rsidRPr="00027E3B" w:rsidRDefault="0051653E" w:rsidP="00C17932">
      <w:pPr>
        <w:rPr>
          <w:szCs w:val="22"/>
        </w:rPr>
      </w:pPr>
      <w:r>
        <w:rPr>
          <w:szCs w:val="22"/>
        </w:rPr>
        <w:t xml:space="preserve">The potential for closer alignment of the Code’s requirements with the New Zealand </w:t>
      </w:r>
      <w:r w:rsidR="00F301CF" w:rsidRPr="00F301CF">
        <w:rPr>
          <w:i/>
          <w:szCs w:val="22"/>
        </w:rPr>
        <w:t>F</w:t>
      </w:r>
      <w:r w:rsidR="00637D25" w:rsidRPr="00F301CF">
        <w:rPr>
          <w:i/>
          <w:szCs w:val="22"/>
        </w:rPr>
        <w:t xml:space="preserve">ood (Supplemented </w:t>
      </w:r>
      <w:r w:rsidRPr="00F301CF">
        <w:rPr>
          <w:i/>
          <w:szCs w:val="22"/>
        </w:rPr>
        <w:t>Food) Standard</w:t>
      </w:r>
      <w:r>
        <w:rPr>
          <w:szCs w:val="22"/>
        </w:rPr>
        <w:t xml:space="preserve"> is being investigated in this Proposal. Closer alignment of these regulations will provide a more level playing field between Australian and New Zealand food manufacturers (section </w:t>
      </w:r>
      <w:r w:rsidR="00F301CF">
        <w:rPr>
          <w:szCs w:val="22"/>
        </w:rPr>
        <w:t>6</w:t>
      </w:r>
      <w:r w:rsidR="00CA5717">
        <w:rPr>
          <w:szCs w:val="22"/>
        </w:rPr>
        <w:t>.1</w:t>
      </w:r>
      <w:r>
        <w:rPr>
          <w:szCs w:val="22"/>
        </w:rPr>
        <w:t xml:space="preserve">). </w:t>
      </w:r>
      <w:r w:rsidR="00A41653">
        <w:rPr>
          <w:szCs w:val="22"/>
        </w:rPr>
        <w:t xml:space="preserve">Improved Code provisions that are clearer and more enforceable will also promote consistency in requirements that need to be met by industry. </w:t>
      </w:r>
    </w:p>
    <w:p w14:paraId="59682A3B" w14:textId="77777777" w:rsidR="00C17932" w:rsidRPr="00737040" w:rsidRDefault="00C17932" w:rsidP="00C17932">
      <w:pPr>
        <w:rPr>
          <w:lang w:bidi="ar-SA"/>
        </w:rPr>
      </w:pPr>
    </w:p>
    <w:p w14:paraId="0C2905A2" w14:textId="77777777" w:rsidR="00C17932" w:rsidRPr="000A7AFD" w:rsidRDefault="00C17932" w:rsidP="00C17932">
      <w:pPr>
        <w:pStyle w:val="FSBullet1"/>
        <w:rPr>
          <w:b/>
        </w:rPr>
      </w:pPr>
      <w:r w:rsidRPr="000A7AFD">
        <w:rPr>
          <w:b/>
        </w:rPr>
        <w:t xml:space="preserve">any written Policy Guidelines formulated by the Ministerial </w:t>
      </w:r>
      <w:r w:rsidRPr="008828D9">
        <w:rPr>
          <w:b/>
        </w:rPr>
        <w:t>Council</w:t>
      </w:r>
      <w:r w:rsidRPr="005E2F53">
        <w:rPr>
          <w:rStyle w:val="FootnoteReference"/>
        </w:rPr>
        <w:footnoteReference w:id="10"/>
      </w:r>
    </w:p>
    <w:p w14:paraId="1CC9D66B" w14:textId="77777777" w:rsidR="00C17932" w:rsidRDefault="00C17932" w:rsidP="00C17932">
      <w:pPr>
        <w:rPr>
          <w:lang w:bidi="ar-SA"/>
        </w:rPr>
      </w:pPr>
    </w:p>
    <w:p w14:paraId="4C54E1ED" w14:textId="0915BB38" w:rsidR="00D653BB" w:rsidRDefault="00C17932" w:rsidP="00572E24">
      <w:r>
        <w:rPr>
          <w:szCs w:val="22"/>
        </w:rPr>
        <w:t xml:space="preserve">The </w:t>
      </w:r>
      <w:r w:rsidR="00F301CF">
        <w:rPr>
          <w:rFonts w:cs="Helvetica"/>
          <w:lang w:val="en-AU"/>
        </w:rPr>
        <w:t>Australia and New Zealand Ministerial Forum on Food Regulation</w:t>
      </w:r>
      <w:r>
        <w:rPr>
          <w:szCs w:val="22"/>
        </w:rPr>
        <w:t xml:space="preserve"> has approved two policy guidelines applicable to this Proposal; the Policy Guideline on Novel Foods, and the Policy Guideline on the Addition to Foods of Substances other than Vitamins and Minerals</w:t>
      </w:r>
      <w:r>
        <w:rPr>
          <w:rStyle w:val="FootnoteReference"/>
          <w:szCs w:val="22"/>
        </w:rPr>
        <w:footnoteReference w:id="11"/>
      </w:r>
      <w:r>
        <w:rPr>
          <w:szCs w:val="22"/>
        </w:rPr>
        <w:t xml:space="preserve">. </w:t>
      </w:r>
      <w:r>
        <w:t xml:space="preserve">These guidance documents have been taken into consideration in the development of this proposal. </w:t>
      </w:r>
    </w:p>
    <w:p w14:paraId="54809331" w14:textId="77777777" w:rsidR="00572E24" w:rsidRDefault="00572E24" w:rsidP="00572E24"/>
    <w:p w14:paraId="6D9329CE" w14:textId="4D459FD4" w:rsidR="00F640F9" w:rsidRDefault="00F301CF" w:rsidP="00F640F9">
      <w:pPr>
        <w:pStyle w:val="Heading1"/>
      </w:pPr>
      <w:bookmarkStart w:id="78" w:name="_Toc436754847"/>
      <w:r>
        <w:t>6</w:t>
      </w:r>
      <w:r w:rsidR="00F640F9">
        <w:tab/>
        <w:t>Other matters</w:t>
      </w:r>
      <w:bookmarkEnd w:id="78"/>
    </w:p>
    <w:p w14:paraId="41B7AE89" w14:textId="77777777" w:rsidR="00637D25" w:rsidRDefault="00637D25" w:rsidP="00637D25">
      <w:bookmarkStart w:id="79" w:name="NZSupplementedFood"/>
      <w:bookmarkEnd w:id="79"/>
      <w:r>
        <w:t>FSANZ will be including consideration of other matters in this Proposal. In particular, the potential for closer alignment of the Code with the New Zealand Food (Supplemented Food) Standard 2013 and a review of the exclusive permission provision in Standard 1.5.1 will be incorporated into this Proposal. More information on these two matters is provided below.</w:t>
      </w:r>
    </w:p>
    <w:p w14:paraId="3EAF8A6C" w14:textId="4AEA9998" w:rsidR="00F640F9" w:rsidRPr="00227E55" w:rsidRDefault="00F301CF" w:rsidP="00F640F9">
      <w:pPr>
        <w:pStyle w:val="Heading2"/>
      </w:pPr>
      <w:bookmarkStart w:id="80" w:name="_Toc436754848"/>
      <w:r>
        <w:t>6</w:t>
      </w:r>
      <w:r w:rsidR="00F640F9">
        <w:t>.1</w:t>
      </w:r>
      <w:r w:rsidR="00F640F9">
        <w:tab/>
      </w:r>
      <w:r w:rsidR="00F640F9" w:rsidRPr="00227E55">
        <w:t xml:space="preserve">The New Zealand </w:t>
      </w:r>
      <w:r w:rsidR="00F640F9" w:rsidRPr="00F301CF">
        <w:rPr>
          <w:i/>
        </w:rPr>
        <w:t>Food (Supplemented Food) Standard 2013</w:t>
      </w:r>
      <w:bookmarkEnd w:id="80"/>
    </w:p>
    <w:p w14:paraId="42ACBB80" w14:textId="432B698E" w:rsidR="00F301CF" w:rsidRDefault="00F640F9" w:rsidP="00F640F9">
      <w:pPr>
        <w:rPr>
          <w:rFonts w:eastAsia="Calibri" w:cs="Arial"/>
        </w:rPr>
      </w:pPr>
      <w:r w:rsidRPr="00227E55">
        <w:rPr>
          <w:rFonts w:eastAsia="Calibri" w:cs="Arial"/>
        </w:rPr>
        <w:t xml:space="preserve">The </w:t>
      </w:r>
      <w:r w:rsidRPr="00F301CF">
        <w:rPr>
          <w:rFonts w:eastAsia="Calibri" w:cs="Arial"/>
        </w:rPr>
        <w:t xml:space="preserve">New Zealand </w:t>
      </w:r>
      <w:r w:rsidRPr="00227E55">
        <w:rPr>
          <w:rFonts w:eastAsia="Calibri" w:cs="Arial"/>
          <w:i/>
        </w:rPr>
        <w:t>Food (Supplemented Food) Standard 2013</w:t>
      </w:r>
      <w:r w:rsidRPr="00227E55">
        <w:rPr>
          <w:rStyle w:val="FootnoteReference"/>
          <w:rFonts w:eastAsia="Calibri" w:cs="Arial"/>
        </w:rPr>
        <w:footnoteReference w:id="12"/>
      </w:r>
      <w:r w:rsidRPr="00227E55">
        <w:rPr>
          <w:rFonts w:eastAsia="Calibri" w:cs="Arial"/>
        </w:rPr>
        <w:t xml:space="preserve"> (the New Zealand Standard) is a New Zealand</w:t>
      </w:r>
      <w:r w:rsidR="00F301CF">
        <w:rPr>
          <w:rFonts w:eastAsia="Calibri" w:cs="Arial"/>
        </w:rPr>
        <w:t xml:space="preserve"> </w:t>
      </w:r>
      <w:r w:rsidRPr="00227E55">
        <w:rPr>
          <w:rFonts w:eastAsia="Calibri" w:cs="Arial"/>
        </w:rPr>
        <w:t xml:space="preserve">only standard that applies outside the joint trans-Tasman food standards regulatory system. </w:t>
      </w:r>
      <w:r w:rsidR="00F301CF">
        <w:rPr>
          <w:rFonts w:eastAsia="Calibri" w:cs="Arial"/>
        </w:rPr>
        <w:br w:type="page"/>
      </w:r>
    </w:p>
    <w:p w14:paraId="6F5E241A" w14:textId="6EEAD9A7" w:rsidR="00F640F9" w:rsidRPr="00227E55" w:rsidRDefault="00F640F9" w:rsidP="00F640F9">
      <w:pPr>
        <w:rPr>
          <w:rFonts w:eastAsia="Calibri" w:cs="Arial"/>
        </w:rPr>
      </w:pPr>
      <w:r w:rsidRPr="00227E55">
        <w:rPr>
          <w:rFonts w:eastAsia="Calibri" w:cs="Arial"/>
        </w:rPr>
        <w:lastRenderedPageBreak/>
        <w:t xml:space="preserve">It was developed as an interim regulatory arrangement for supplemented food and to specifically regulate ‘food-type’ dietary supplements that were previously regulated under the New Zealand </w:t>
      </w:r>
      <w:r w:rsidRPr="00227E55">
        <w:rPr>
          <w:rFonts w:eastAsia="Calibri" w:cs="Arial"/>
          <w:i/>
        </w:rPr>
        <w:t>Dietary Supplement Regulations (1985)</w:t>
      </w:r>
      <w:r w:rsidRPr="00227E55">
        <w:rPr>
          <w:rFonts w:eastAsia="Calibri" w:cs="Arial"/>
        </w:rPr>
        <w:t>.</w:t>
      </w:r>
    </w:p>
    <w:p w14:paraId="099BF59B" w14:textId="77777777" w:rsidR="00F640F9" w:rsidRPr="00227E55" w:rsidRDefault="00F640F9" w:rsidP="00F640F9">
      <w:pPr>
        <w:rPr>
          <w:rFonts w:eastAsia="Calibri" w:cs="Arial"/>
        </w:rPr>
      </w:pPr>
    </w:p>
    <w:p w14:paraId="3F29EE09" w14:textId="77777777" w:rsidR="00F640F9" w:rsidRDefault="00F640F9" w:rsidP="00F640F9">
      <w:pPr>
        <w:rPr>
          <w:rFonts w:eastAsia="Calibri" w:cs="Arial"/>
        </w:rPr>
      </w:pPr>
      <w:r w:rsidRPr="00227E55">
        <w:rPr>
          <w:rFonts w:eastAsia="Calibri" w:cs="Arial"/>
        </w:rPr>
        <w:t xml:space="preserve">Supplemented food is defined in the New Zealand Standard as: </w:t>
      </w:r>
    </w:p>
    <w:p w14:paraId="469DA7FC" w14:textId="77777777" w:rsidR="005328CB" w:rsidRPr="00227E55" w:rsidRDefault="005328CB" w:rsidP="00F640F9">
      <w:pPr>
        <w:rPr>
          <w:rFonts w:eastAsia="Calibri" w:cs="Arial"/>
        </w:rPr>
      </w:pPr>
    </w:p>
    <w:p w14:paraId="29424AC9" w14:textId="77777777" w:rsidR="00F640F9" w:rsidRPr="00227E55" w:rsidRDefault="00F640F9" w:rsidP="00F640F9">
      <w:pPr>
        <w:ind w:left="567"/>
        <w:rPr>
          <w:rFonts w:eastAsia="Calibri" w:cs="Arial"/>
          <w:i/>
        </w:rPr>
      </w:pPr>
      <w:r w:rsidRPr="00227E55">
        <w:rPr>
          <w:rFonts w:eastAsia="Calibri" w:cs="Arial"/>
          <w:i/>
        </w:rPr>
        <w:t>A product that is represented as a food that has a substance or substances added to it or that has been modified in some way to perform a physiological role beyond the provision of a simple nutritive requirement.</w:t>
      </w:r>
    </w:p>
    <w:p w14:paraId="6F3BCB7F" w14:textId="77777777" w:rsidR="00F640F9" w:rsidRPr="00227E55" w:rsidRDefault="00F640F9" w:rsidP="00F640F9">
      <w:pPr>
        <w:rPr>
          <w:rFonts w:eastAsia="Calibri" w:cs="Arial"/>
        </w:rPr>
      </w:pPr>
    </w:p>
    <w:p w14:paraId="63FAB61B" w14:textId="755AF0FB" w:rsidR="00F640F9" w:rsidRPr="00227E55" w:rsidRDefault="00F640F9" w:rsidP="00F640F9">
      <w:pPr>
        <w:rPr>
          <w:rFonts w:eastAsia="Calibri" w:cs="Arial"/>
        </w:rPr>
      </w:pPr>
      <w:r w:rsidRPr="00227E55">
        <w:rPr>
          <w:rFonts w:eastAsia="Calibri" w:cs="Arial"/>
        </w:rPr>
        <w:t>Although it is a New Zealan</w:t>
      </w:r>
      <w:r w:rsidR="00F301CF">
        <w:rPr>
          <w:rFonts w:eastAsia="Calibri" w:cs="Arial"/>
        </w:rPr>
        <w:t xml:space="preserve">d </w:t>
      </w:r>
      <w:r w:rsidRPr="00227E55">
        <w:rPr>
          <w:rFonts w:eastAsia="Calibri" w:cs="Arial"/>
        </w:rPr>
        <w:t xml:space="preserve">only standard, supplemented foods that comply with this Standard in New Zealand may be sold as foods in Australia under the </w:t>
      </w:r>
      <w:r w:rsidRPr="003D597E">
        <w:rPr>
          <w:rFonts w:eastAsia="Calibri" w:cs="Arial"/>
        </w:rPr>
        <w:t xml:space="preserve">Trans-Tasman Mutual Recognition Arrangement </w:t>
      </w:r>
      <w:r w:rsidRPr="00227E55">
        <w:rPr>
          <w:rFonts w:eastAsia="Calibri" w:cs="Arial"/>
        </w:rPr>
        <w:t xml:space="preserve">(TTMRA) provided the Australian Therapeutic Goods Administration does not conclude that a particular supplemented food is regarded in Australia as a complementary medicine. </w:t>
      </w:r>
      <w:r w:rsidR="0051653E">
        <w:rPr>
          <w:rFonts w:eastAsia="Calibri" w:cs="Arial"/>
        </w:rPr>
        <w:t xml:space="preserve">However, Australian food manufacturers cannot produce and sell supplemented foods in Australia. The products would have to be produced or imported into New Zealand in order to be subject to the TTMRA. </w:t>
      </w:r>
    </w:p>
    <w:p w14:paraId="24290419" w14:textId="63C322A4" w:rsidR="00F640F9" w:rsidRPr="00790FEC" w:rsidRDefault="00F301CF" w:rsidP="000D0DA9">
      <w:pPr>
        <w:pStyle w:val="Heading3"/>
        <w:rPr>
          <w:rFonts w:eastAsia="Calibri"/>
        </w:rPr>
      </w:pPr>
      <w:bookmarkStart w:id="81" w:name="_Toc436754849"/>
      <w:r>
        <w:rPr>
          <w:rFonts w:eastAsia="Calibri"/>
        </w:rPr>
        <w:t>6</w:t>
      </w:r>
      <w:r w:rsidR="00F640F9">
        <w:rPr>
          <w:rFonts w:eastAsia="Calibri"/>
        </w:rPr>
        <w:t>.1.1</w:t>
      </w:r>
      <w:r w:rsidR="00F640F9">
        <w:rPr>
          <w:rFonts w:eastAsia="Calibri"/>
        </w:rPr>
        <w:tab/>
      </w:r>
      <w:r w:rsidR="00F640F9" w:rsidRPr="00227E55">
        <w:rPr>
          <w:rFonts w:eastAsia="Calibri"/>
        </w:rPr>
        <w:t>New Zealand Standard versus the Code</w:t>
      </w:r>
      <w:bookmarkEnd w:id="81"/>
    </w:p>
    <w:p w14:paraId="548F0833" w14:textId="77777777" w:rsidR="00F640F9" w:rsidRPr="00227E55" w:rsidRDefault="00F640F9" w:rsidP="00F640F9">
      <w:pPr>
        <w:rPr>
          <w:rFonts w:cs="Arial"/>
        </w:rPr>
      </w:pPr>
      <w:r w:rsidRPr="00227E55">
        <w:rPr>
          <w:rFonts w:cs="Arial"/>
        </w:rPr>
        <w:t xml:space="preserve">The New Zealand Standard provides more liberal permissions than the Code, particularly for the range and amounts of added substances. It adopts the approach of </w:t>
      </w:r>
      <w:r w:rsidR="0088024A">
        <w:rPr>
          <w:rFonts w:cs="Arial"/>
        </w:rPr>
        <w:t>‘</w:t>
      </w:r>
      <w:r w:rsidRPr="00227E55">
        <w:rPr>
          <w:rFonts w:cs="Arial"/>
        </w:rPr>
        <w:t>permitted unless restricted</w:t>
      </w:r>
      <w:r w:rsidR="0088024A">
        <w:rPr>
          <w:rFonts w:cs="Arial"/>
        </w:rPr>
        <w:t>’</w:t>
      </w:r>
      <w:r w:rsidRPr="00227E55">
        <w:rPr>
          <w:rFonts w:cs="Arial"/>
        </w:rPr>
        <w:t xml:space="preserve"> or prohibited by reference. Therefore, unless specifically restricted or prohibited, any substance may be added to a supplemented food if</w:t>
      </w:r>
      <w:r>
        <w:rPr>
          <w:rFonts w:cs="Arial"/>
        </w:rPr>
        <w:t xml:space="preserve"> the manufacturer/packer for sale/seller determines that </w:t>
      </w:r>
      <w:r w:rsidRPr="00227E55">
        <w:rPr>
          <w:rFonts w:cs="Arial"/>
        </w:rPr>
        <w:t xml:space="preserve">it is safe and suitable for the purpose </w:t>
      </w:r>
      <w:r w:rsidR="006B0465">
        <w:rPr>
          <w:rFonts w:cs="Arial"/>
        </w:rPr>
        <w:t xml:space="preserve">for which </w:t>
      </w:r>
      <w:r>
        <w:rPr>
          <w:rFonts w:cs="Arial"/>
        </w:rPr>
        <w:t>it is being added</w:t>
      </w:r>
      <w:r w:rsidRPr="00227E55">
        <w:rPr>
          <w:rFonts w:cs="Arial"/>
        </w:rPr>
        <w:t>.</w:t>
      </w:r>
    </w:p>
    <w:p w14:paraId="0E3A738F" w14:textId="77777777" w:rsidR="00F640F9" w:rsidRPr="00227E55" w:rsidRDefault="00F640F9" w:rsidP="00F640F9">
      <w:pPr>
        <w:rPr>
          <w:rFonts w:cs="Arial"/>
        </w:rPr>
      </w:pPr>
    </w:p>
    <w:p w14:paraId="736FDF0E" w14:textId="4A4ECC27" w:rsidR="00F640F9" w:rsidRPr="00227E55" w:rsidRDefault="00F640F9" w:rsidP="00F640F9">
      <w:pPr>
        <w:rPr>
          <w:rFonts w:eastAsia="Calibri" w:cs="Arial"/>
        </w:rPr>
      </w:pPr>
      <w:r w:rsidRPr="00227E55">
        <w:rPr>
          <w:rFonts w:cs="Arial"/>
        </w:rPr>
        <w:t>Clause 8 of the New Zealand Standard lists the standards in the Code that also apply to supplemented foods. However, the key standards in the Code that regulate use of nutritive substances and novel foods do not apply to supplemented foods, specifically clause 9 of Standard 1.1.1 (the prohibition on addition of nutritive substances to food unless expressly permitted in the Code) and Standard 1.5.1 (</w:t>
      </w:r>
      <w:r w:rsidR="00AF1152">
        <w:rPr>
          <w:rFonts w:cs="Arial"/>
        </w:rPr>
        <w:t>N</w:t>
      </w:r>
      <w:r w:rsidRPr="00227E55">
        <w:rPr>
          <w:rFonts w:cs="Arial"/>
        </w:rPr>
        <w:t xml:space="preserve">ovel </w:t>
      </w:r>
      <w:r w:rsidR="00AF1152">
        <w:rPr>
          <w:rFonts w:cs="Arial"/>
        </w:rPr>
        <w:t>F</w:t>
      </w:r>
      <w:r w:rsidR="00351B9A">
        <w:rPr>
          <w:rFonts w:cs="Arial"/>
        </w:rPr>
        <w:t>oods,</w:t>
      </w:r>
      <w:r w:rsidRPr="00227E55">
        <w:rPr>
          <w:rFonts w:cs="Arial"/>
        </w:rPr>
        <w:t xml:space="preserve"> except </w:t>
      </w:r>
      <w:r w:rsidR="00351B9A">
        <w:rPr>
          <w:rFonts w:cs="Arial"/>
        </w:rPr>
        <w:t>clause</w:t>
      </w:r>
      <w:r w:rsidRPr="00227E55">
        <w:rPr>
          <w:rFonts w:cs="Arial"/>
        </w:rPr>
        <w:t xml:space="preserve"> 3 relating to the exclusive use of novel foods).</w:t>
      </w:r>
      <w:r>
        <w:rPr>
          <w:rFonts w:cs="Arial"/>
        </w:rPr>
        <w:t xml:space="preserve"> </w:t>
      </w:r>
      <w:r w:rsidRPr="00227E55">
        <w:rPr>
          <w:rFonts w:eastAsia="Calibri" w:cs="Arial"/>
        </w:rPr>
        <w:t xml:space="preserve">Standard 1.4.4 – Prohibited and Restricted Plants and Fungi </w:t>
      </w:r>
      <w:r>
        <w:rPr>
          <w:rFonts w:eastAsia="Calibri" w:cs="Arial"/>
        </w:rPr>
        <w:t>of the Code</w:t>
      </w:r>
      <w:r w:rsidRPr="00227E55">
        <w:rPr>
          <w:rFonts w:eastAsia="Calibri" w:cs="Arial"/>
        </w:rPr>
        <w:t xml:space="preserve"> applies to supplemented foods, excluding references to </w:t>
      </w:r>
      <w:r w:rsidRPr="00F640F9">
        <w:rPr>
          <w:rFonts w:eastAsia="Calibri" w:cs="Arial"/>
          <w:i/>
        </w:rPr>
        <w:t>Hypericum perforatum</w:t>
      </w:r>
      <w:r w:rsidRPr="00227E55">
        <w:rPr>
          <w:rFonts w:eastAsia="Calibri" w:cs="Arial"/>
        </w:rPr>
        <w:t>, St John’s wort, or Hypericine.</w:t>
      </w:r>
    </w:p>
    <w:p w14:paraId="25CD1F70" w14:textId="77777777" w:rsidR="00F640F9" w:rsidRPr="00227E55" w:rsidRDefault="00F640F9" w:rsidP="00F640F9">
      <w:pPr>
        <w:rPr>
          <w:rFonts w:eastAsia="Calibri" w:cs="Arial"/>
        </w:rPr>
      </w:pPr>
    </w:p>
    <w:p w14:paraId="493BCF33" w14:textId="77777777" w:rsidR="00F640F9" w:rsidRDefault="00F640F9" w:rsidP="00F640F9">
      <w:pPr>
        <w:rPr>
          <w:rFonts w:eastAsia="Calibri" w:cs="Arial"/>
        </w:rPr>
      </w:pPr>
      <w:r w:rsidRPr="00227E55">
        <w:rPr>
          <w:rFonts w:eastAsia="Calibri" w:cs="Arial"/>
        </w:rPr>
        <w:t xml:space="preserve">Clause 11 of the </w:t>
      </w:r>
      <w:r>
        <w:rPr>
          <w:rFonts w:eastAsia="Calibri" w:cs="Arial"/>
        </w:rPr>
        <w:t xml:space="preserve">New Zealand </w:t>
      </w:r>
      <w:r w:rsidRPr="00227E55">
        <w:rPr>
          <w:rFonts w:eastAsia="Calibri" w:cs="Arial"/>
        </w:rPr>
        <w:t xml:space="preserve">Standard prohibits the presence of any intoxicating substance in supplemented foods. Clause 13 places restrictions on use of certain substances, for example St John’s Wort may be used only in herbal infusions and the label must contain a prescribed warning statement. Clause 14 prohibits the use of certain substances (e.g. Black Cohosh and Kava). </w:t>
      </w:r>
    </w:p>
    <w:p w14:paraId="1688A442" w14:textId="77777777" w:rsidR="00F640F9" w:rsidRPr="00227E55" w:rsidRDefault="00F640F9" w:rsidP="00F640F9">
      <w:pPr>
        <w:rPr>
          <w:rFonts w:eastAsia="Calibri" w:cs="Arial"/>
        </w:rPr>
      </w:pPr>
    </w:p>
    <w:p w14:paraId="13122B75" w14:textId="77777777" w:rsidR="00F640F9" w:rsidRDefault="00F640F9" w:rsidP="00F640F9">
      <w:pPr>
        <w:rPr>
          <w:rFonts w:eastAsia="Calibri" w:cs="Arial"/>
        </w:rPr>
      </w:pPr>
      <w:r w:rsidRPr="00227E55">
        <w:rPr>
          <w:rFonts w:eastAsia="Calibri" w:cs="Arial"/>
        </w:rPr>
        <w:t>Vitamin and mineral permissions in the New Zealand Standard are also more liberal than those in the Code. Vitamins and minerals may</w:t>
      </w:r>
      <w:r>
        <w:rPr>
          <w:rFonts w:eastAsia="Calibri" w:cs="Arial"/>
        </w:rPr>
        <w:t xml:space="preserve"> be added to supplemented foods</w:t>
      </w:r>
      <w:r w:rsidRPr="00227E55">
        <w:rPr>
          <w:rFonts w:eastAsia="Calibri" w:cs="Arial"/>
        </w:rPr>
        <w:t xml:space="preserve"> with </w:t>
      </w:r>
      <w:r>
        <w:rPr>
          <w:rFonts w:eastAsia="Calibri" w:cs="Arial"/>
        </w:rPr>
        <w:t xml:space="preserve">restrictions on the maximum per one day quantity for some vitamins and minerals, </w:t>
      </w:r>
      <w:r w:rsidRPr="00227E55">
        <w:rPr>
          <w:rFonts w:eastAsia="Calibri" w:cs="Arial"/>
        </w:rPr>
        <w:t>which</w:t>
      </w:r>
      <w:r>
        <w:rPr>
          <w:rFonts w:eastAsia="Calibri" w:cs="Arial"/>
        </w:rPr>
        <w:t xml:space="preserve"> in most cases</w:t>
      </w:r>
      <w:r w:rsidRPr="00227E55">
        <w:rPr>
          <w:rFonts w:eastAsia="Calibri" w:cs="Arial"/>
        </w:rPr>
        <w:t xml:space="preserve"> equate to 50%</w:t>
      </w:r>
      <w:r>
        <w:rPr>
          <w:rFonts w:eastAsia="Calibri" w:cs="Arial"/>
        </w:rPr>
        <w:t xml:space="preserve"> adult </w:t>
      </w:r>
      <w:r w:rsidRPr="00227E55">
        <w:rPr>
          <w:rFonts w:eastAsia="Calibri" w:cs="Arial"/>
        </w:rPr>
        <w:t>Upper Level of Intake (clause 15). In contrast, the Code permissions in Standard 1.3.2</w:t>
      </w:r>
      <w:r>
        <w:rPr>
          <w:rFonts w:eastAsia="Calibri" w:cs="Arial"/>
        </w:rPr>
        <w:t xml:space="preserve"> – Vitamins and Minerals</w:t>
      </w:r>
      <w:r w:rsidRPr="00227E55">
        <w:rPr>
          <w:rFonts w:eastAsia="Calibri" w:cs="Arial"/>
        </w:rPr>
        <w:t xml:space="preserve"> are more moderate and relate to specific food and nutrient combinations</w:t>
      </w:r>
      <w:r>
        <w:rPr>
          <w:rStyle w:val="FootnoteReference"/>
          <w:rFonts w:eastAsia="Calibri" w:cs="Arial"/>
        </w:rPr>
        <w:footnoteReference w:id="13"/>
      </w:r>
      <w:r>
        <w:rPr>
          <w:rFonts w:eastAsia="Calibri" w:cs="Arial"/>
        </w:rPr>
        <w:t xml:space="preserve"> with</w:t>
      </w:r>
      <w:r w:rsidRPr="00227E55">
        <w:rPr>
          <w:rFonts w:eastAsia="Calibri" w:cs="Arial"/>
        </w:rPr>
        <w:t xml:space="preserve"> prescribed maximum claims per reference quantity as appropriate of</w:t>
      </w:r>
      <w:r>
        <w:rPr>
          <w:rFonts w:eastAsia="Calibri" w:cs="Arial"/>
        </w:rPr>
        <w:t xml:space="preserve"> 10</w:t>
      </w:r>
      <w:r>
        <w:rPr>
          <w:rFonts w:eastAsia="Calibri" w:cs="Arial"/>
        </w:rPr>
        <w:noBreakHyphen/>
      </w:r>
      <w:r w:rsidRPr="00227E55">
        <w:rPr>
          <w:rFonts w:eastAsia="Calibri" w:cs="Arial"/>
        </w:rPr>
        <w:t xml:space="preserve">50% of the </w:t>
      </w:r>
      <w:r w:rsidR="006B0465">
        <w:rPr>
          <w:rFonts w:eastAsia="Calibri" w:cs="Arial"/>
        </w:rPr>
        <w:t>rRDI</w:t>
      </w:r>
      <w:r w:rsidRPr="005C2E95">
        <w:rPr>
          <w:rFonts w:eastAsia="Calibri" w:cs="Arial"/>
        </w:rPr>
        <w:t xml:space="preserve"> (as</w:t>
      </w:r>
      <w:r w:rsidRPr="00227E55">
        <w:rPr>
          <w:rFonts w:eastAsia="Calibri" w:cs="Arial"/>
        </w:rPr>
        <w:t xml:space="preserve"> listed in Schedule to Standard 1.1.1). </w:t>
      </w:r>
    </w:p>
    <w:p w14:paraId="3B19D2D0" w14:textId="77777777" w:rsidR="00F640F9" w:rsidRDefault="00F640F9" w:rsidP="00F640F9">
      <w:pPr>
        <w:rPr>
          <w:rFonts w:eastAsia="Calibri" w:cs="Arial"/>
        </w:rPr>
      </w:pPr>
    </w:p>
    <w:p w14:paraId="68B94EF3" w14:textId="0F56104A" w:rsidR="00F640F9" w:rsidRPr="00227E55" w:rsidRDefault="00F640F9" w:rsidP="00F640F9">
      <w:pPr>
        <w:rPr>
          <w:rFonts w:eastAsia="Calibri" w:cs="Arial"/>
        </w:rPr>
      </w:pPr>
      <w:r w:rsidRPr="00227E55">
        <w:rPr>
          <w:rFonts w:eastAsia="Calibri" w:cs="Arial"/>
        </w:rPr>
        <w:t>Clause 9</w:t>
      </w:r>
      <w:r>
        <w:rPr>
          <w:rFonts w:eastAsia="Calibri" w:cs="Arial"/>
        </w:rPr>
        <w:t xml:space="preserve"> of the New Zealand Standard</w:t>
      </w:r>
      <w:r w:rsidRPr="00227E55">
        <w:rPr>
          <w:rFonts w:eastAsia="Calibri" w:cs="Arial"/>
        </w:rPr>
        <w:t xml:space="preserve"> prohibits supplemented foods specifically formulated or marketed for infants or young children under the age of four years. This provision intends that food products specifically for this age group must comply with </w:t>
      </w:r>
      <w:r>
        <w:rPr>
          <w:rFonts w:eastAsia="Calibri" w:cs="Arial"/>
        </w:rPr>
        <w:t xml:space="preserve">the relevant standards in </w:t>
      </w:r>
      <w:r>
        <w:rPr>
          <w:rFonts w:eastAsia="Calibri" w:cs="Arial"/>
        </w:rPr>
        <w:lastRenderedPageBreak/>
        <w:t xml:space="preserve">the Code, including </w:t>
      </w:r>
      <w:r w:rsidR="00CA3E76">
        <w:rPr>
          <w:rFonts w:eastAsia="Calibri" w:cs="Arial"/>
        </w:rPr>
        <w:t>Standard</w:t>
      </w:r>
      <w:r w:rsidRPr="00227E55">
        <w:rPr>
          <w:rFonts w:eastAsia="Calibri" w:cs="Arial"/>
        </w:rPr>
        <w:t xml:space="preserve"> 2.9.1</w:t>
      </w:r>
      <w:r w:rsidR="00230BCC">
        <w:rPr>
          <w:rFonts w:eastAsia="Calibri" w:cs="Arial"/>
        </w:rPr>
        <w:t xml:space="preserve"> – </w:t>
      </w:r>
      <w:r w:rsidR="00CA3E76">
        <w:rPr>
          <w:rFonts w:eastAsia="Calibri" w:cs="Arial"/>
        </w:rPr>
        <w:t xml:space="preserve">Infant </w:t>
      </w:r>
      <w:r w:rsidR="003D597E">
        <w:rPr>
          <w:rFonts w:eastAsia="Calibri" w:cs="Arial"/>
        </w:rPr>
        <w:t>formula products</w:t>
      </w:r>
      <w:r w:rsidR="00CA3E76">
        <w:rPr>
          <w:rFonts w:eastAsia="Calibri" w:cs="Arial"/>
        </w:rPr>
        <w:t xml:space="preserve">), Standard </w:t>
      </w:r>
      <w:r w:rsidRPr="00227E55">
        <w:rPr>
          <w:rFonts w:eastAsia="Calibri" w:cs="Arial"/>
        </w:rPr>
        <w:t>2.9.2</w:t>
      </w:r>
      <w:r w:rsidR="00230BCC">
        <w:rPr>
          <w:rFonts w:eastAsia="Calibri" w:cs="Arial"/>
        </w:rPr>
        <w:t xml:space="preserve"> – </w:t>
      </w:r>
      <w:r>
        <w:rPr>
          <w:rFonts w:eastAsia="Calibri" w:cs="Arial"/>
        </w:rPr>
        <w:t xml:space="preserve">Foods for </w:t>
      </w:r>
      <w:r w:rsidR="003D597E">
        <w:rPr>
          <w:rFonts w:eastAsia="Calibri" w:cs="Arial"/>
        </w:rPr>
        <w:t>infants</w:t>
      </w:r>
      <w:r w:rsidR="006B0465">
        <w:rPr>
          <w:rFonts w:eastAsia="Calibri" w:cs="Arial"/>
        </w:rPr>
        <w:t xml:space="preserve"> and Division 4 of Standard 2.9.3 </w:t>
      </w:r>
      <w:r w:rsidR="00230BCC">
        <w:rPr>
          <w:rFonts w:eastAsia="Calibri" w:cs="Arial"/>
        </w:rPr>
        <w:t xml:space="preserve">– </w:t>
      </w:r>
      <w:r w:rsidR="00CA3E76">
        <w:rPr>
          <w:rFonts w:eastAsia="Calibri" w:cs="Arial"/>
        </w:rPr>
        <w:t xml:space="preserve">Formulated </w:t>
      </w:r>
      <w:r w:rsidR="003D597E">
        <w:rPr>
          <w:rFonts w:eastAsia="Calibri" w:cs="Arial"/>
        </w:rPr>
        <w:t xml:space="preserve">supplementary foods </w:t>
      </w:r>
      <w:r w:rsidR="00CA3E76">
        <w:rPr>
          <w:rFonts w:eastAsia="Calibri" w:cs="Arial"/>
        </w:rPr>
        <w:t xml:space="preserve">for </w:t>
      </w:r>
      <w:r w:rsidR="003D597E">
        <w:rPr>
          <w:rFonts w:eastAsia="Calibri" w:cs="Arial"/>
        </w:rPr>
        <w:t>young children</w:t>
      </w:r>
      <w:r w:rsidR="00230BCC">
        <w:rPr>
          <w:rFonts w:eastAsia="Calibri" w:cs="Arial"/>
        </w:rPr>
        <w:t>,</w:t>
      </w:r>
      <w:r w:rsidR="00CA3E76">
        <w:rPr>
          <w:rFonts w:eastAsia="Calibri" w:cs="Arial"/>
        </w:rPr>
        <w:t xml:space="preserve"> defined in the standard as being a formulated supplementary food for children aged one to three years). </w:t>
      </w:r>
    </w:p>
    <w:p w14:paraId="2816B4DE" w14:textId="2390FF08" w:rsidR="00F640F9" w:rsidRPr="00790FEC" w:rsidRDefault="00230BCC" w:rsidP="000D0DA9">
      <w:pPr>
        <w:pStyle w:val="Heading3"/>
        <w:rPr>
          <w:rFonts w:eastAsia="Calibri"/>
        </w:rPr>
      </w:pPr>
      <w:bookmarkStart w:id="82" w:name="_Toc436754850"/>
      <w:r>
        <w:rPr>
          <w:rFonts w:eastAsia="Calibri"/>
        </w:rPr>
        <w:t>6</w:t>
      </w:r>
      <w:r w:rsidR="00F640F9">
        <w:rPr>
          <w:rFonts w:eastAsia="Calibri"/>
        </w:rPr>
        <w:t>.1.2</w:t>
      </w:r>
      <w:r w:rsidR="00F640F9">
        <w:rPr>
          <w:rFonts w:eastAsia="Calibri"/>
        </w:rPr>
        <w:tab/>
      </w:r>
      <w:r w:rsidR="00F640F9" w:rsidRPr="00227E55">
        <w:rPr>
          <w:rFonts w:eastAsia="Calibri"/>
        </w:rPr>
        <w:t>Potential alignment of trans-Tasman regulations for the addition of substances to foods</w:t>
      </w:r>
      <w:bookmarkEnd w:id="82"/>
    </w:p>
    <w:p w14:paraId="0A257468" w14:textId="090B2790" w:rsidR="00F640F9" w:rsidRPr="00227E55" w:rsidRDefault="00F640F9" w:rsidP="00F640F9">
      <w:pPr>
        <w:rPr>
          <w:rFonts w:eastAsia="Calibri" w:cs="Arial"/>
        </w:rPr>
      </w:pPr>
      <w:r>
        <w:rPr>
          <w:rFonts w:eastAsia="Calibri" w:cs="Arial"/>
        </w:rPr>
        <w:t xml:space="preserve">The New Zealand </w:t>
      </w:r>
      <w:r w:rsidR="005328CB">
        <w:rPr>
          <w:rFonts w:eastAsia="Calibri" w:cs="Arial"/>
        </w:rPr>
        <w:t>G</w:t>
      </w:r>
      <w:r>
        <w:rPr>
          <w:rFonts w:eastAsia="Calibri" w:cs="Arial"/>
        </w:rPr>
        <w:t>overnment aims to retain the</w:t>
      </w:r>
      <w:r w:rsidRPr="00227E55">
        <w:rPr>
          <w:rFonts w:eastAsia="Calibri" w:cs="Arial"/>
        </w:rPr>
        <w:t xml:space="preserve"> New Zealand Standard </w:t>
      </w:r>
      <w:r>
        <w:rPr>
          <w:rFonts w:eastAsia="Calibri" w:cs="Arial"/>
        </w:rPr>
        <w:t>as an</w:t>
      </w:r>
      <w:r w:rsidRPr="00227E55">
        <w:rPr>
          <w:rFonts w:eastAsia="Calibri" w:cs="Arial"/>
        </w:rPr>
        <w:t xml:space="preserve"> interim regulatory arrangement for supplemented food</w:t>
      </w:r>
      <w:r>
        <w:rPr>
          <w:rFonts w:eastAsia="Calibri" w:cs="Arial"/>
        </w:rPr>
        <w:t xml:space="preserve"> </w:t>
      </w:r>
      <w:r w:rsidRPr="00227E55">
        <w:rPr>
          <w:rFonts w:eastAsia="Calibri" w:cs="Arial"/>
        </w:rPr>
        <w:t>until appropriate permissions are incorporated in the Code</w:t>
      </w:r>
      <w:r>
        <w:rPr>
          <w:rFonts w:eastAsia="Calibri" w:cs="Arial"/>
        </w:rPr>
        <w:t xml:space="preserve">. </w:t>
      </w:r>
      <w:r w:rsidR="00B046E8">
        <w:rPr>
          <w:rFonts w:eastAsia="Calibri" w:cs="Arial"/>
        </w:rPr>
        <w:t>This</w:t>
      </w:r>
      <w:r w:rsidRPr="00227E55">
        <w:rPr>
          <w:rFonts w:eastAsia="Calibri" w:cs="Arial"/>
        </w:rPr>
        <w:t xml:space="preserve"> Proposal </w:t>
      </w:r>
      <w:r w:rsidR="00B046E8">
        <w:rPr>
          <w:rFonts w:eastAsia="Calibri" w:cs="Arial"/>
        </w:rPr>
        <w:t>may</w:t>
      </w:r>
      <w:r w:rsidRPr="00227E55">
        <w:rPr>
          <w:rFonts w:eastAsia="Calibri" w:cs="Arial"/>
        </w:rPr>
        <w:t xml:space="preserve"> address </w:t>
      </w:r>
      <w:r>
        <w:rPr>
          <w:rFonts w:eastAsia="Calibri" w:cs="Arial"/>
        </w:rPr>
        <w:t>some of the</w:t>
      </w:r>
      <w:r w:rsidRPr="00227E55">
        <w:rPr>
          <w:rFonts w:eastAsia="Calibri" w:cs="Arial"/>
        </w:rPr>
        <w:t xml:space="preserve"> issues associated with the need for the New Zealand-only standard, and provide a framework for better alignment of trans-Tasman food regulations</w:t>
      </w:r>
      <w:r w:rsidR="003557A3">
        <w:rPr>
          <w:rStyle w:val="FootnoteReference"/>
          <w:rFonts w:eastAsia="Calibri" w:cs="Arial"/>
        </w:rPr>
        <w:footnoteReference w:id="14"/>
      </w:r>
      <w:r w:rsidRPr="00227E55">
        <w:rPr>
          <w:rFonts w:eastAsia="Calibri" w:cs="Arial"/>
        </w:rPr>
        <w:t xml:space="preserve">. This aim aligns with the </w:t>
      </w:r>
      <w:r w:rsidR="00230BCC" w:rsidRPr="00230BCC">
        <w:rPr>
          <w:rFonts w:eastAsia="Calibri" w:cs="Arial"/>
        </w:rPr>
        <w:t xml:space="preserve">FSANZ Act </w:t>
      </w:r>
      <w:r w:rsidRPr="00230BCC">
        <w:rPr>
          <w:rFonts w:eastAsia="Calibri" w:cs="Arial"/>
        </w:rPr>
        <w:t>t</w:t>
      </w:r>
      <w:r w:rsidRPr="00227E55">
        <w:rPr>
          <w:rFonts w:eastAsia="Calibri" w:cs="Arial"/>
        </w:rPr>
        <w:t>hat require</w:t>
      </w:r>
      <w:r>
        <w:rPr>
          <w:rFonts w:eastAsia="Calibri" w:cs="Arial"/>
        </w:rPr>
        <w:t>s</w:t>
      </w:r>
      <w:r w:rsidRPr="00227E55">
        <w:rPr>
          <w:rFonts w:eastAsia="Calibri" w:cs="Arial"/>
        </w:rPr>
        <w:t xml:space="preserve"> FSANZ </w:t>
      </w:r>
      <w:r>
        <w:rPr>
          <w:rFonts w:eastAsia="Calibri" w:cs="Arial"/>
        </w:rPr>
        <w:t xml:space="preserve">to </w:t>
      </w:r>
      <w:r w:rsidRPr="00227E55">
        <w:rPr>
          <w:rFonts w:eastAsia="Calibri" w:cs="Arial"/>
        </w:rPr>
        <w:t xml:space="preserve">have regard to any relevant New Zealand standards when </w:t>
      </w:r>
      <w:r w:rsidR="001247E5">
        <w:rPr>
          <w:rFonts w:eastAsia="Calibri" w:cs="Arial"/>
        </w:rPr>
        <w:t>developing or varying a regulatory measure</w:t>
      </w:r>
      <w:r w:rsidRPr="00227E55">
        <w:rPr>
          <w:rFonts w:eastAsia="Calibri" w:cs="Arial"/>
        </w:rPr>
        <w:t>.</w:t>
      </w:r>
    </w:p>
    <w:p w14:paraId="59EF5F65" w14:textId="77777777" w:rsidR="00F640F9" w:rsidRPr="00227E55" w:rsidRDefault="00F640F9" w:rsidP="00F640F9">
      <w:pPr>
        <w:rPr>
          <w:rFonts w:eastAsia="Calibri" w:cs="Arial"/>
        </w:rPr>
      </w:pPr>
    </w:p>
    <w:p w14:paraId="4F2B8693" w14:textId="77777777" w:rsidR="00F640F9" w:rsidRPr="00227E55" w:rsidRDefault="003916C8" w:rsidP="00F640F9">
      <w:pPr>
        <w:rPr>
          <w:rFonts w:eastAsia="Calibri" w:cs="Arial"/>
        </w:rPr>
      </w:pPr>
      <w:r>
        <w:rPr>
          <w:rFonts w:eastAsia="Calibri" w:cs="Arial"/>
        </w:rPr>
        <w:t>T</w:t>
      </w:r>
      <w:r w:rsidR="00F640F9" w:rsidRPr="00227E55">
        <w:rPr>
          <w:rFonts w:eastAsia="Calibri" w:cs="Arial"/>
        </w:rPr>
        <w:t>he base regulatory approach for the addition of substances to foods differ</w:t>
      </w:r>
      <w:r w:rsidR="00F640F9">
        <w:rPr>
          <w:rFonts w:eastAsia="Calibri" w:cs="Arial"/>
        </w:rPr>
        <w:t>s</w:t>
      </w:r>
      <w:r w:rsidR="00F640F9" w:rsidRPr="00227E55">
        <w:rPr>
          <w:rFonts w:eastAsia="Calibri" w:cs="Arial"/>
        </w:rPr>
        <w:t xml:space="preserve"> – the Code prohibits unless permitted </w:t>
      </w:r>
      <w:r w:rsidR="007166FA">
        <w:rPr>
          <w:rFonts w:eastAsia="Calibri" w:cs="Arial"/>
        </w:rPr>
        <w:t xml:space="preserve">(pre-market approach) </w:t>
      </w:r>
      <w:r w:rsidR="00F640F9" w:rsidRPr="00227E55">
        <w:rPr>
          <w:rFonts w:eastAsia="Calibri" w:cs="Arial"/>
        </w:rPr>
        <w:t>whereas the New Zealand Standard is open and prohibits by reference</w:t>
      </w:r>
      <w:r w:rsidR="007166FA">
        <w:rPr>
          <w:rFonts w:eastAsia="Calibri" w:cs="Arial"/>
        </w:rPr>
        <w:t xml:space="preserve"> (post market approach)</w:t>
      </w:r>
      <w:r w:rsidR="00F640F9" w:rsidRPr="00227E55">
        <w:rPr>
          <w:rFonts w:eastAsia="Calibri" w:cs="Arial"/>
        </w:rPr>
        <w:t xml:space="preserve">. </w:t>
      </w:r>
    </w:p>
    <w:p w14:paraId="53D689EC" w14:textId="77777777" w:rsidR="00F640F9" w:rsidRPr="00227E55" w:rsidRDefault="00F640F9" w:rsidP="00F640F9">
      <w:pPr>
        <w:rPr>
          <w:rFonts w:eastAsia="Calibri" w:cs="Arial"/>
        </w:rPr>
      </w:pPr>
    </w:p>
    <w:p w14:paraId="6875F860" w14:textId="77777777" w:rsidR="00F640F9" w:rsidRPr="00227E55" w:rsidRDefault="00B046E8" w:rsidP="00F640F9">
      <w:pPr>
        <w:rPr>
          <w:rFonts w:eastAsia="Calibri" w:cs="Arial"/>
        </w:rPr>
      </w:pPr>
      <w:r>
        <w:rPr>
          <w:rFonts w:eastAsia="Calibri" w:cs="Arial"/>
        </w:rPr>
        <w:t xml:space="preserve">It is possible that improved regulation of nutritive substances and novel foods in the Code may assist in more closely aligning the Code and the New Zealand Standard. </w:t>
      </w:r>
      <w:r w:rsidR="00F640F9">
        <w:rPr>
          <w:rFonts w:eastAsia="Calibri" w:cs="Arial"/>
        </w:rPr>
        <w:t xml:space="preserve">The ideal outcome is for </w:t>
      </w:r>
      <w:r w:rsidR="00AC7512">
        <w:rPr>
          <w:rFonts w:eastAsia="Calibri" w:cs="Arial"/>
        </w:rPr>
        <w:t xml:space="preserve">the New Zealand Standard to be repealed because it is no longer required. Whether this ideal can be achieved as </w:t>
      </w:r>
      <w:r w:rsidR="00E1484D">
        <w:rPr>
          <w:rFonts w:eastAsia="Calibri" w:cs="Arial"/>
        </w:rPr>
        <w:t xml:space="preserve">a result of </w:t>
      </w:r>
      <w:r w:rsidR="00AC7512">
        <w:rPr>
          <w:rFonts w:eastAsia="Calibri" w:cs="Arial"/>
        </w:rPr>
        <w:t xml:space="preserve">this Proposal remains to be seen. </w:t>
      </w:r>
      <w:r w:rsidR="00F640F9">
        <w:rPr>
          <w:rFonts w:eastAsia="Calibri" w:cs="Arial"/>
        </w:rPr>
        <w:t xml:space="preserve">If achieved, this would resolve the current inconsistency in permissions for substances that can be added to supplemented foods under the New Zealand Standard and to other foods regulated under the Code. </w:t>
      </w:r>
    </w:p>
    <w:p w14:paraId="10C66C52" w14:textId="77777777" w:rsidR="00F640F9" w:rsidRDefault="00F640F9" w:rsidP="00F640F9">
      <w:pPr>
        <w:rPr>
          <w:rFonts w:eastAsia="Calibri" w:cs="Arial"/>
        </w:rPr>
      </w:pPr>
    </w:p>
    <w:p w14:paraId="2736396B" w14:textId="77777777" w:rsidR="00F640F9" w:rsidRDefault="00F640F9" w:rsidP="00F640F9">
      <w:pPr>
        <w:rPr>
          <w:rFonts w:eastAsia="Calibri" w:cs="Arial"/>
        </w:rPr>
      </w:pPr>
      <w:r w:rsidRPr="00227E55">
        <w:rPr>
          <w:rFonts w:eastAsia="Calibri" w:cs="Arial"/>
        </w:rPr>
        <w:t xml:space="preserve">FSANZ will continue to work with the New Zealand Ministry for Primary Industries (MPI) throughout this Proposal to address the issues that currently impede alignment of the New Zealand Standard with the Code. </w:t>
      </w:r>
      <w:r>
        <w:rPr>
          <w:rFonts w:eastAsia="Calibri" w:cs="Arial"/>
        </w:rPr>
        <w:t xml:space="preserve">MPI has advised </w:t>
      </w:r>
      <w:r w:rsidRPr="00227E55">
        <w:rPr>
          <w:rFonts w:eastAsia="Calibri" w:cs="Arial"/>
        </w:rPr>
        <w:t xml:space="preserve">FSANZ </w:t>
      </w:r>
      <w:r>
        <w:rPr>
          <w:rFonts w:eastAsia="Calibri" w:cs="Arial"/>
        </w:rPr>
        <w:t>that it is</w:t>
      </w:r>
      <w:r w:rsidRPr="00227E55">
        <w:rPr>
          <w:rFonts w:eastAsia="Calibri" w:cs="Arial"/>
        </w:rPr>
        <w:t xml:space="preserve"> undertaking further work in relation to the New Zealand Standard</w:t>
      </w:r>
      <w:r w:rsidR="008E3559">
        <w:rPr>
          <w:rFonts w:eastAsia="Calibri" w:cs="Arial"/>
        </w:rPr>
        <w:t>, including a survey of existing supplemented foods on the market</w:t>
      </w:r>
      <w:r>
        <w:rPr>
          <w:rFonts w:eastAsia="Calibri" w:cs="Arial"/>
        </w:rPr>
        <w:t xml:space="preserve">, which </w:t>
      </w:r>
      <w:r w:rsidRPr="00227E55">
        <w:rPr>
          <w:rFonts w:eastAsia="Calibri" w:cs="Arial"/>
        </w:rPr>
        <w:t>may be of benefit to the assessment of this Proposal.</w:t>
      </w:r>
    </w:p>
    <w:p w14:paraId="6645771D" w14:textId="0EFC22B1" w:rsidR="00F640F9" w:rsidRDefault="00230BCC" w:rsidP="00F640F9">
      <w:pPr>
        <w:pStyle w:val="Heading2"/>
      </w:pPr>
      <w:bookmarkStart w:id="83" w:name="_Toc436754851"/>
      <w:r>
        <w:rPr>
          <w:rFonts w:eastAsia="Calibri"/>
        </w:rPr>
        <w:t>6</w:t>
      </w:r>
      <w:r w:rsidR="00F640F9">
        <w:rPr>
          <w:rFonts w:eastAsia="Calibri"/>
        </w:rPr>
        <w:t>.2</w:t>
      </w:r>
      <w:r w:rsidR="00F640F9">
        <w:rPr>
          <w:rFonts w:eastAsia="Calibri"/>
        </w:rPr>
        <w:tab/>
        <w:t>Exclusive permission for brand and class of food</w:t>
      </w:r>
      <w:bookmarkEnd w:id="83"/>
    </w:p>
    <w:p w14:paraId="11F78B0D" w14:textId="79CBA4A2" w:rsidR="00F640F9" w:rsidRDefault="00F640F9" w:rsidP="00F640F9">
      <w:r>
        <w:rPr>
          <w:rFonts w:eastAsiaTheme="minorHAnsi" w:cstheme="minorBidi"/>
          <w:szCs w:val="22"/>
        </w:rPr>
        <w:t xml:space="preserve">Standard 1.5.1 includes a provision that novel foods can be granted exclusive use on the basis of brand and class of food. </w:t>
      </w:r>
      <w:r w:rsidRPr="000C5B2B">
        <w:rPr>
          <w:rFonts w:eastAsiaTheme="minorHAnsi" w:cstheme="minorBidi"/>
          <w:szCs w:val="22"/>
        </w:rPr>
        <w:t xml:space="preserve">This provision was added to Standard 1.5.1 </w:t>
      </w:r>
      <w:r>
        <w:rPr>
          <w:rFonts w:eastAsiaTheme="minorHAnsi" w:cstheme="minorBidi"/>
          <w:szCs w:val="22"/>
        </w:rPr>
        <w:t xml:space="preserve">when the review of the novel food standard (P291) was completed in 2007. </w:t>
      </w:r>
      <w:r w:rsidR="003916C8">
        <w:rPr>
          <w:rFonts w:eastAsiaTheme="minorHAnsi" w:cstheme="minorBidi"/>
          <w:szCs w:val="22"/>
        </w:rPr>
        <w:t xml:space="preserve">A </w:t>
      </w:r>
      <w:r>
        <w:rPr>
          <w:rFonts w:eastAsiaTheme="minorHAnsi" w:cstheme="minorBidi"/>
          <w:szCs w:val="22"/>
        </w:rPr>
        <w:t xml:space="preserve">separate proposal was prepared to consider adding the exclusive use permission provision </w:t>
      </w:r>
      <w:r w:rsidR="00FE669E">
        <w:rPr>
          <w:rFonts w:eastAsiaTheme="minorHAnsi" w:cstheme="minorBidi"/>
          <w:szCs w:val="22"/>
        </w:rPr>
        <w:t>(</w:t>
      </w:r>
      <w:r>
        <w:rPr>
          <w:rFonts w:eastAsiaTheme="minorHAnsi" w:cstheme="minorBidi"/>
          <w:szCs w:val="22"/>
        </w:rPr>
        <w:t>Proposal P305</w:t>
      </w:r>
      <w:r w:rsidR="00FE669E">
        <w:rPr>
          <w:rFonts w:eastAsiaTheme="minorHAnsi" w:cstheme="minorBidi"/>
          <w:szCs w:val="22"/>
        </w:rPr>
        <w:t>)</w:t>
      </w:r>
      <w:r w:rsidRPr="000C5B2B">
        <w:rPr>
          <w:rFonts w:eastAsiaTheme="minorHAnsi" w:cstheme="minorBidi"/>
          <w:szCs w:val="22"/>
        </w:rPr>
        <w:t xml:space="preserve">. </w:t>
      </w:r>
      <w:r>
        <w:rPr>
          <w:rFonts w:eastAsiaTheme="minorHAnsi" w:cstheme="minorBidi"/>
          <w:szCs w:val="22"/>
        </w:rPr>
        <w:t>At the time, t</w:t>
      </w:r>
      <w:r w:rsidRPr="000C5B2B">
        <w:rPr>
          <w:rFonts w:eastAsiaTheme="minorHAnsi" w:cstheme="minorBidi"/>
          <w:szCs w:val="22"/>
        </w:rPr>
        <w:t xml:space="preserve">he </w:t>
      </w:r>
      <w:r>
        <w:rPr>
          <w:rFonts w:eastAsiaTheme="minorHAnsi" w:cstheme="minorBidi"/>
          <w:szCs w:val="22"/>
        </w:rPr>
        <w:t xml:space="preserve">then Australia New Zealand Food Regulation Ministerial Council </w:t>
      </w:r>
      <w:r w:rsidRPr="000C5B2B">
        <w:rPr>
          <w:rFonts w:eastAsiaTheme="minorHAnsi" w:cstheme="minorBidi"/>
          <w:szCs w:val="22"/>
        </w:rPr>
        <w:t xml:space="preserve">requested FSANZ review this provision within three to five years after </w:t>
      </w:r>
      <w:r w:rsidR="00444066">
        <w:rPr>
          <w:rFonts w:eastAsiaTheme="minorHAnsi" w:cstheme="minorBidi"/>
          <w:szCs w:val="22"/>
        </w:rPr>
        <w:t>that</w:t>
      </w:r>
      <w:r w:rsidR="00444066" w:rsidRPr="000C5B2B">
        <w:rPr>
          <w:rFonts w:eastAsiaTheme="minorHAnsi" w:cstheme="minorBidi"/>
          <w:szCs w:val="22"/>
        </w:rPr>
        <w:t xml:space="preserve"> </w:t>
      </w:r>
      <w:r w:rsidRPr="000C5B2B">
        <w:rPr>
          <w:rFonts w:eastAsiaTheme="minorHAnsi" w:cstheme="minorBidi"/>
          <w:szCs w:val="22"/>
        </w:rPr>
        <w:t>date.</w:t>
      </w:r>
      <w:r>
        <w:rPr>
          <w:rFonts w:eastAsiaTheme="minorHAnsi" w:cstheme="minorBidi"/>
          <w:szCs w:val="22"/>
        </w:rPr>
        <w:t xml:space="preserve"> FSANZ </w:t>
      </w:r>
      <w:r w:rsidR="003916C8">
        <w:rPr>
          <w:rFonts w:eastAsiaTheme="minorHAnsi" w:cstheme="minorBidi"/>
          <w:szCs w:val="22"/>
        </w:rPr>
        <w:t xml:space="preserve">is </w:t>
      </w:r>
      <w:r>
        <w:rPr>
          <w:rFonts w:eastAsiaTheme="minorHAnsi" w:cstheme="minorBidi"/>
          <w:szCs w:val="22"/>
        </w:rPr>
        <w:t>includ</w:t>
      </w:r>
      <w:r w:rsidR="003916C8">
        <w:rPr>
          <w:rFonts w:eastAsiaTheme="minorHAnsi" w:cstheme="minorBidi"/>
          <w:szCs w:val="22"/>
        </w:rPr>
        <w:t>ing</w:t>
      </w:r>
      <w:r>
        <w:rPr>
          <w:rFonts w:eastAsiaTheme="minorHAnsi" w:cstheme="minorBidi"/>
          <w:szCs w:val="22"/>
        </w:rPr>
        <w:t xml:space="preserve"> a review of this provision in its consideration of P1024.</w:t>
      </w:r>
      <w:r w:rsidRPr="00B70FAF">
        <w:t xml:space="preserve"> </w:t>
      </w:r>
      <w:r w:rsidRPr="005448C7">
        <w:t xml:space="preserve">There is no other section of the Code providing </w:t>
      </w:r>
      <w:r>
        <w:t>specifically for exclusivity.</w:t>
      </w:r>
    </w:p>
    <w:p w14:paraId="609E1A55" w14:textId="77777777" w:rsidR="00F640F9" w:rsidRDefault="00F640F9" w:rsidP="00F640F9">
      <w:pPr>
        <w:rPr>
          <w:lang w:eastAsia="en-AU"/>
        </w:rPr>
      </w:pPr>
    </w:p>
    <w:p w14:paraId="3CC90663" w14:textId="77777777" w:rsidR="00230BCC" w:rsidRDefault="00F640F9" w:rsidP="00F640F9">
      <w:pPr>
        <w:rPr>
          <w:rFonts w:cs="Arial"/>
          <w:lang w:val="en-AU"/>
        </w:rPr>
      </w:pPr>
      <w:r>
        <w:rPr>
          <w:lang w:eastAsia="en-AU"/>
        </w:rPr>
        <w:t xml:space="preserve">The permission for exclusive use provision was introduced to Standard 1.5.1 in recognition of the investment made in developing a novel food or ingredient and the need to achieve return on this investment, thereby supporting innovation. </w:t>
      </w:r>
      <w:r>
        <w:t xml:space="preserve">The Standard provides </w:t>
      </w:r>
      <w:r w:rsidRPr="005448C7">
        <w:t xml:space="preserve">that </w:t>
      </w:r>
      <w:r w:rsidRPr="005448C7">
        <w:rPr>
          <w:rFonts w:cs="Arial"/>
          <w:lang w:val="en-AU"/>
        </w:rPr>
        <w:t xml:space="preserve">an applicant </w:t>
      </w:r>
      <w:r>
        <w:rPr>
          <w:rFonts w:cs="Arial"/>
          <w:lang w:val="en-AU"/>
        </w:rPr>
        <w:t>requesting</w:t>
      </w:r>
      <w:r w:rsidRPr="005448C7">
        <w:rPr>
          <w:rFonts w:cs="Arial"/>
          <w:lang w:val="en-AU"/>
        </w:rPr>
        <w:t xml:space="preserve"> approval of a novel food may also apply for </w:t>
      </w:r>
      <w:r>
        <w:rPr>
          <w:rFonts w:cs="Arial"/>
          <w:lang w:val="en-AU"/>
        </w:rPr>
        <w:t xml:space="preserve">a period of </w:t>
      </w:r>
      <w:r w:rsidRPr="005448C7">
        <w:rPr>
          <w:rFonts w:cs="Arial"/>
          <w:lang w:val="en-AU"/>
        </w:rPr>
        <w:t>‘exclusive’ use to ap</w:t>
      </w:r>
      <w:r>
        <w:rPr>
          <w:rFonts w:cs="Arial"/>
          <w:lang w:val="en-AU"/>
        </w:rPr>
        <w:t>ply to a brand or class of food for</w:t>
      </w:r>
      <w:r w:rsidRPr="005448C7">
        <w:rPr>
          <w:rFonts w:cs="Arial"/>
          <w:lang w:val="en-AU"/>
        </w:rPr>
        <w:t xml:space="preserve"> 15 months</w:t>
      </w:r>
      <w:r>
        <w:rPr>
          <w:rFonts w:cs="Arial"/>
          <w:lang w:val="en-AU"/>
        </w:rPr>
        <w:t>.</w:t>
      </w:r>
      <w:r w:rsidRPr="005448C7">
        <w:rPr>
          <w:rFonts w:cs="Arial"/>
          <w:lang w:val="en-AU"/>
        </w:rPr>
        <w:t xml:space="preserve"> </w:t>
      </w:r>
      <w:r w:rsidR="00230BCC">
        <w:rPr>
          <w:rFonts w:cs="Arial"/>
          <w:lang w:val="en-AU"/>
        </w:rPr>
        <w:br w:type="page"/>
      </w:r>
    </w:p>
    <w:p w14:paraId="2C6519F4" w14:textId="0EFA178B" w:rsidR="00F640F9" w:rsidRDefault="00F640F9" w:rsidP="00F640F9">
      <w:pPr>
        <w:rPr>
          <w:rFonts w:cs="Arial"/>
          <w:lang w:val="en-AU"/>
        </w:rPr>
      </w:pPr>
      <w:r>
        <w:rPr>
          <w:rFonts w:cs="Arial"/>
          <w:lang w:val="en-AU"/>
        </w:rPr>
        <w:lastRenderedPageBreak/>
        <w:t>At the end of the initial 15</w:t>
      </w:r>
      <w:r w:rsidR="00230BCC">
        <w:rPr>
          <w:rFonts w:cs="Arial"/>
          <w:lang w:val="en-AU"/>
        </w:rPr>
        <w:t>-</w:t>
      </w:r>
      <w:r>
        <w:rPr>
          <w:rFonts w:cs="Arial"/>
          <w:lang w:val="en-AU"/>
        </w:rPr>
        <w:t>month period, the exclusive use permission reverts to a generic permission for the novel food, and competitors can then market that food under their own brands.</w:t>
      </w:r>
      <w:r w:rsidRPr="00C06003">
        <w:rPr>
          <w:rFonts w:cs="Arial"/>
          <w:lang w:val="en-AU"/>
        </w:rPr>
        <w:t xml:space="preserve"> </w:t>
      </w:r>
      <w:r w:rsidRPr="005448C7">
        <w:rPr>
          <w:rFonts w:cs="Arial"/>
          <w:lang w:val="en-AU"/>
        </w:rPr>
        <w:t>However, the Standard does not and cannot prevent approval of second or subsequ</w:t>
      </w:r>
      <w:r w:rsidR="00230BCC">
        <w:rPr>
          <w:rFonts w:cs="Arial"/>
          <w:lang w:val="en-AU"/>
        </w:rPr>
        <w:t>ent applications within that 15-</w:t>
      </w:r>
      <w:r w:rsidRPr="005448C7">
        <w:rPr>
          <w:rFonts w:cs="Arial"/>
          <w:lang w:val="en-AU"/>
        </w:rPr>
        <w:t>month period for the use of the same novel food (or containing the approved ingredient) by other food companies</w:t>
      </w:r>
      <w:r>
        <w:rPr>
          <w:rFonts w:cs="Arial"/>
          <w:lang w:val="en-AU"/>
        </w:rPr>
        <w:t xml:space="preserve">, providing the application process is undertaken. </w:t>
      </w:r>
      <w:r w:rsidR="006674CE">
        <w:rPr>
          <w:rFonts w:cs="Arial"/>
          <w:lang w:val="en-AU"/>
        </w:rPr>
        <w:t xml:space="preserve">This situation has occurred once, with two applications being received for conjugated linoleic acid at a similar time, both of which requested exclusive permission for different brands. These applications were rejected on safety grounds, so concurrent exclusive permissions were never gazetted in the Code. </w:t>
      </w:r>
    </w:p>
    <w:p w14:paraId="3DA16EC5" w14:textId="77777777" w:rsidR="00F640F9" w:rsidRDefault="00F640F9" w:rsidP="00F640F9">
      <w:pPr>
        <w:rPr>
          <w:u w:val="single"/>
        </w:rPr>
      </w:pPr>
    </w:p>
    <w:p w14:paraId="75236031" w14:textId="77777777" w:rsidR="00F640F9" w:rsidRDefault="00F640F9" w:rsidP="00F640F9">
      <w:pPr>
        <w:pStyle w:val="CommentText"/>
        <w:rPr>
          <w:sz w:val="22"/>
          <w:szCs w:val="22"/>
        </w:rPr>
      </w:pPr>
      <w:r>
        <w:rPr>
          <w:sz w:val="22"/>
          <w:szCs w:val="22"/>
        </w:rPr>
        <w:t>FSANZ has prepared questions for submitters relatin</w:t>
      </w:r>
      <w:r w:rsidR="00FE669E">
        <w:rPr>
          <w:sz w:val="22"/>
          <w:szCs w:val="22"/>
        </w:rPr>
        <w:t>g</w:t>
      </w:r>
      <w:r>
        <w:rPr>
          <w:sz w:val="22"/>
          <w:szCs w:val="22"/>
        </w:rPr>
        <w:t xml:space="preserve"> to the current exclusive use provision, to ascertain whether the provision achieves its intention, provides value to industry and whether there may be alternative methods of achieving similar effects in the context of the Code, or through other means. FSANZ notes that the European Union proposal for amending the novel food regulation proposes an element of data protection, whereby newly developed scientific evidence or data supporting an application may not be used for the benefit of a subsequent application for a period of five years from the date of authorisation of the novel food (without the agreement of the initial applicant). </w:t>
      </w:r>
    </w:p>
    <w:p w14:paraId="692E35D4" w14:textId="77777777" w:rsidR="00F640F9" w:rsidRDefault="00F640F9" w:rsidP="00F640F9">
      <w:pPr>
        <w:pStyle w:val="CommentText"/>
        <w:rPr>
          <w:sz w:val="22"/>
          <w:szCs w:val="22"/>
        </w:rPr>
      </w:pPr>
    </w:p>
    <w:p w14:paraId="2CD3F3C9" w14:textId="77777777" w:rsidR="00F640F9" w:rsidRDefault="00F640F9" w:rsidP="00F640F9">
      <w:pPr>
        <w:pStyle w:val="CommentText"/>
        <w:rPr>
          <w:sz w:val="22"/>
          <w:szCs w:val="22"/>
        </w:rPr>
      </w:pPr>
      <w:r>
        <w:rPr>
          <w:sz w:val="22"/>
          <w:szCs w:val="22"/>
        </w:rPr>
        <w:t xml:space="preserve">Only three novel food applications assessed by FSANZ to date have requested exclusive use permission. </w:t>
      </w:r>
      <w:r w:rsidR="006674CE">
        <w:rPr>
          <w:sz w:val="22"/>
          <w:szCs w:val="22"/>
        </w:rPr>
        <w:t>As noted above, t</w:t>
      </w:r>
      <w:r>
        <w:rPr>
          <w:sz w:val="22"/>
          <w:szCs w:val="22"/>
        </w:rPr>
        <w:t>wo of these were rejected. The other application, for the use of phytosterols in cheese,</w:t>
      </w:r>
      <w:r w:rsidR="006674CE">
        <w:rPr>
          <w:sz w:val="22"/>
          <w:szCs w:val="22"/>
        </w:rPr>
        <w:t xml:space="preserve"> has resulted in the only exclusive permission being gazetted in the Code, </w:t>
      </w:r>
      <w:r w:rsidR="00C24BF0">
        <w:rPr>
          <w:sz w:val="22"/>
          <w:szCs w:val="22"/>
        </w:rPr>
        <w:t>which has now expired</w:t>
      </w:r>
      <w:r>
        <w:rPr>
          <w:sz w:val="22"/>
          <w:szCs w:val="22"/>
        </w:rPr>
        <w:t>. There are no current exclusive use permissions for novel foods in the novel food standard.</w:t>
      </w:r>
      <w:r w:rsidRPr="00EE159E">
        <w:rPr>
          <w:sz w:val="22"/>
          <w:szCs w:val="22"/>
        </w:rPr>
        <w:t xml:space="preserve"> </w:t>
      </w:r>
    </w:p>
    <w:p w14:paraId="5A3C43D4" w14:textId="77777777" w:rsidR="00C24BF0" w:rsidRDefault="00C24BF0" w:rsidP="00F640F9">
      <w:pPr>
        <w:pStyle w:val="CommentText"/>
        <w:rPr>
          <w:sz w:val="22"/>
          <w:szCs w:val="22"/>
        </w:rPr>
      </w:pPr>
    </w:p>
    <w:p w14:paraId="550305BD" w14:textId="5754B693" w:rsidR="00C24BF0" w:rsidRDefault="00C24BF0" w:rsidP="00F640F9">
      <w:pPr>
        <w:pStyle w:val="CommentText"/>
        <w:rPr>
          <w:sz w:val="22"/>
          <w:szCs w:val="22"/>
        </w:rPr>
      </w:pPr>
      <w:r>
        <w:rPr>
          <w:sz w:val="22"/>
          <w:szCs w:val="22"/>
        </w:rPr>
        <w:t xml:space="preserve">Under the </w:t>
      </w:r>
      <w:r w:rsidR="006674CE">
        <w:rPr>
          <w:sz w:val="22"/>
          <w:szCs w:val="22"/>
        </w:rPr>
        <w:t>draft framework</w:t>
      </w:r>
      <w:r>
        <w:rPr>
          <w:sz w:val="22"/>
          <w:szCs w:val="22"/>
        </w:rPr>
        <w:t xml:space="preserve"> presented in section </w:t>
      </w:r>
      <w:r w:rsidR="00230BCC">
        <w:rPr>
          <w:sz w:val="22"/>
          <w:szCs w:val="22"/>
        </w:rPr>
        <w:t>4</w:t>
      </w:r>
      <w:r w:rsidR="00CA5717">
        <w:rPr>
          <w:sz w:val="22"/>
          <w:szCs w:val="22"/>
        </w:rPr>
        <w:t>.2</w:t>
      </w:r>
      <w:r>
        <w:rPr>
          <w:sz w:val="22"/>
          <w:szCs w:val="22"/>
        </w:rPr>
        <w:t xml:space="preserve">.3, a potential industry self-assessment pathway for new foods has been included. The self-assessment pathway would not result in a specific permission in the Code for a food that has been assessed as safe by a food business (in accordance with prescribed assessment requirements). Therefore, the current exclusive permission provision in the Code would not apply to the industry self-assessment pathway. </w:t>
      </w:r>
      <w:r w:rsidR="00D803A8">
        <w:rPr>
          <w:sz w:val="22"/>
          <w:szCs w:val="22"/>
        </w:rPr>
        <w:t>However, h</w:t>
      </w:r>
      <w:r>
        <w:rPr>
          <w:sz w:val="22"/>
          <w:szCs w:val="22"/>
        </w:rPr>
        <w:t xml:space="preserve">aving greater control over the timing of placing a product on the market and not having to undergo </w:t>
      </w:r>
      <w:r w:rsidR="00D803A8">
        <w:rPr>
          <w:sz w:val="22"/>
          <w:szCs w:val="22"/>
        </w:rPr>
        <w:t>the</w:t>
      </w:r>
      <w:r>
        <w:rPr>
          <w:sz w:val="22"/>
          <w:szCs w:val="22"/>
        </w:rPr>
        <w:t xml:space="preserve"> transparent assessment process </w:t>
      </w:r>
      <w:r w:rsidR="00D803A8">
        <w:rPr>
          <w:sz w:val="22"/>
          <w:szCs w:val="22"/>
        </w:rPr>
        <w:t>(</w:t>
      </w:r>
      <w:r>
        <w:rPr>
          <w:sz w:val="22"/>
          <w:szCs w:val="22"/>
        </w:rPr>
        <w:t>via an application to FSANZ</w:t>
      </w:r>
      <w:r w:rsidR="00D803A8">
        <w:rPr>
          <w:sz w:val="22"/>
          <w:szCs w:val="22"/>
        </w:rPr>
        <w:t>)</w:t>
      </w:r>
      <w:r>
        <w:rPr>
          <w:sz w:val="22"/>
          <w:szCs w:val="22"/>
        </w:rPr>
        <w:t xml:space="preserve"> may </w:t>
      </w:r>
      <w:r w:rsidR="00A148DB">
        <w:rPr>
          <w:sz w:val="22"/>
          <w:szCs w:val="22"/>
        </w:rPr>
        <w:t xml:space="preserve">provide an alternative </w:t>
      </w:r>
      <w:r>
        <w:rPr>
          <w:sz w:val="22"/>
          <w:szCs w:val="22"/>
        </w:rPr>
        <w:t>benefit for food businesses</w:t>
      </w:r>
      <w:r w:rsidR="00D803A8">
        <w:rPr>
          <w:sz w:val="22"/>
          <w:szCs w:val="22"/>
        </w:rPr>
        <w:t xml:space="preserve">. </w:t>
      </w:r>
    </w:p>
    <w:p w14:paraId="700008D0" w14:textId="77777777" w:rsidR="00F640F9" w:rsidRDefault="00F640F9" w:rsidP="00F640F9">
      <w:pPr>
        <w:pStyle w:val="CommentText"/>
        <w:rPr>
          <w:sz w:val="22"/>
          <w:szCs w:val="22"/>
        </w:rPr>
      </w:pPr>
    </w:p>
    <w:p w14:paraId="4C5EF5A5" w14:textId="708B984E" w:rsidR="00F640F9" w:rsidRDefault="00F640F9" w:rsidP="00427332">
      <w:pPr>
        <w:pStyle w:val="CommentText"/>
        <w:rPr>
          <w:sz w:val="22"/>
          <w:szCs w:val="22"/>
        </w:rPr>
      </w:pPr>
      <w:r>
        <w:rPr>
          <w:sz w:val="22"/>
          <w:szCs w:val="22"/>
        </w:rPr>
        <w:t>FSANZ will consider the r</w:t>
      </w:r>
      <w:r w:rsidR="00C24BF0">
        <w:rPr>
          <w:sz w:val="22"/>
          <w:szCs w:val="22"/>
        </w:rPr>
        <w:t xml:space="preserve">eview of the exclusive permission </w:t>
      </w:r>
      <w:r>
        <w:rPr>
          <w:sz w:val="22"/>
          <w:szCs w:val="22"/>
        </w:rPr>
        <w:t>provision in more detail after submissions have been received and during development of a preferred option for the 2</w:t>
      </w:r>
      <w:r w:rsidRPr="00B70FAF">
        <w:rPr>
          <w:sz w:val="22"/>
          <w:szCs w:val="22"/>
          <w:vertAlign w:val="superscript"/>
        </w:rPr>
        <w:t>nd</w:t>
      </w:r>
      <w:r>
        <w:rPr>
          <w:sz w:val="22"/>
          <w:szCs w:val="22"/>
        </w:rPr>
        <w:t xml:space="preserve"> </w:t>
      </w:r>
      <w:r w:rsidR="00230BCC">
        <w:rPr>
          <w:sz w:val="22"/>
          <w:szCs w:val="22"/>
        </w:rPr>
        <w:t>call for submissions</w:t>
      </w:r>
      <w:r>
        <w:rPr>
          <w:sz w:val="22"/>
          <w:szCs w:val="22"/>
        </w:rPr>
        <w:t xml:space="preserve">. </w:t>
      </w:r>
      <w:r w:rsidR="00C24BF0">
        <w:rPr>
          <w:sz w:val="22"/>
          <w:szCs w:val="22"/>
        </w:rPr>
        <w:t xml:space="preserve">The revised Code has amended </w:t>
      </w:r>
      <w:r w:rsidRPr="00072969">
        <w:rPr>
          <w:sz w:val="22"/>
          <w:szCs w:val="22"/>
        </w:rPr>
        <w:t xml:space="preserve">Standard 1.5.1 to </w:t>
      </w:r>
      <w:r>
        <w:rPr>
          <w:sz w:val="22"/>
          <w:szCs w:val="22"/>
        </w:rPr>
        <w:t xml:space="preserve">recast the exclusive use provision as a condition attaching to approval; however the intent of the provision will still be reviewed as part of P1024. </w:t>
      </w:r>
    </w:p>
    <w:p w14:paraId="72028BF0" w14:textId="77777777" w:rsidR="004718F9" w:rsidRDefault="004718F9" w:rsidP="00427332">
      <w:pPr>
        <w:pStyle w:val="CommentText"/>
        <w:rPr>
          <w:sz w:val="22"/>
          <w:szCs w:val="22"/>
        </w:rPr>
      </w:pPr>
    </w:p>
    <w:p w14:paraId="66BF5D96" w14:textId="77777777" w:rsidR="004718F9" w:rsidRPr="003D597E" w:rsidRDefault="005328CB" w:rsidP="003D597E">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b/>
          <w:sz w:val="22"/>
          <w:szCs w:val="22"/>
        </w:rPr>
      </w:pPr>
      <w:r w:rsidRPr="003D597E">
        <w:rPr>
          <w:b/>
          <w:sz w:val="22"/>
          <w:szCs w:val="22"/>
        </w:rPr>
        <w:t>Questions:</w:t>
      </w:r>
    </w:p>
    <w:p w14:paraId="567636CE" w14:textId="77777777" w:rsidR="004718F9" w:rsidRDefault="004718F9" w:rsidP="003D597E">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p>
    <w:p w14:paraId="10216B95" w14:textId="77777777" w:rsidR="0058235A" w:rsidRDefault="0058235A" w:rsidP="003D597E">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r>
        <w:rPr>
          <w:sz w:val="22"/>
          <w:szCs w:val="22"/>
        </w:rPr>
        <w:t>Do you support retaining the provision to grant exclusive permission in the Code for foods approved by FSANZ? Please provide reasons for your view.</w:t>
      </w:r>
    </w:p>
    <w:p w14:paraId="6D28F86F" w14:textId="77777777" w:rsidR="0058235A" w:rsidRDefault="0058235A" w:rsidP="003D597E">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p>
    <w:p w14:paraId="57CFBB33" w14:textId="195B6A03" w:rsidR="0058235A" w:rsidRPr="00427332" w:rsidRDefault="0058235A" w:rsidP="003D597E">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r>
        <w:rPr>
          <w:sz w:val="22"/>
          <w:szCs w:val="22"/>
        </w:rPr>
        <w:t>Can you identify any issues that may arise if exclusive permissions are available for FSANZ approved foods</w:t>
      </w:r>
      <w:r w:rsidR="00CA5717">
        <w:rPr>
          <w:sz w:val="22"/>
          <w:szCs w:val="22"/>
        </w:rPr>
        <w:t xml:space="preserve"> (with permission provided in the Code)</w:t>
      </w:r>
      <w:r>
        <w:rPr>
          <w:sz w:val="22"/>
          <w:szCs w:val="22"/>
        </w:rPr>
        <w:t xml:space="preserve">, but not available for industry self-assessed foods? </w:t>
      </w:r>
      <w:r w:rsidR="00F07C89">
        <w:rPr>
          <w:sz w:val="22"/>
          <w:szCs w:val="22"/>
        </w:rPr>
        <w:t xml:space="preserve">Would the self-assessment process for non-eligible foods </w:t>
      </w:r>
      <w:r w:rsidR="00CA5717">
        <w:rPr>
          <w:sz w:val="22"/>
          <w:szCs w:val="22"/>
        </w:rPr>
        <w:t>provide a trade-off against the lack of an exclusive permission for self-assessed fo</w:t>
      </w:r>
      <w:r w:rsidR="00230BCC">
        <w:rPr>
          <w:sz w:val="22"/>
          <w:szCs w:val="22"/>
        </w:rPr>
        <w:t>ods (section 4</w:t>
      </w:r>
      <w:r w:rsidR="00CA5717">
        <w:rPr>
          <w:sz w:val="22"/>
          <w:szCs w:val="22"/>
        </w:rPr>
        <w:t>.2.3</w:t>
      </w:r>
      <w:r w:rsidR="00F07C89">
        <w:rPr>
          <w:sz w:val="22"/>
          <w:szCs w:val="22"/>
        </w:rPr>
        <w:t>)</w:t>
      </w:r>
      <w:r w:rsidR="00CA5717">
        <w:rPr>
          <w:sz w:val="22"/>
          <w:szCs w:val="22"/>
        </w:rPr>
        <w:t>?</w:t>
      </w:r>
      <w:r w:rsidR="00F07C89">
        <w:rPr>
          <w:sz w:val="22"/>
          <w:szCs w:val="22"/>
        </w:rPr>
        <w:t xml:space="preserve"> </w:t>
      </w:r>
    </w:p>
    <w:p w14:paraId="574D7D8D" w14:textId="61DCEE95" w:rsidR="00230BCC" w:rsidRDefault="00230BCC" w:rsidP="00DE78B6">
      <w:pPr>
        <w:rPr>
          <w:lang w:bidi="ar-SA"/>
        </w:rPr>
      </w:pPr>
      <w:r>
        <w:rPr>
          <w:lang w:bidi="ar-SA"/>
        </w:rPr>
        <w:br w:type="page"/>
      </w:r>
    </w:p>
    <w:p w14:paraId="52D664E3" w14:textId="2B4D053E" w:rsidR="00F640F9" w:rsidRDefault="00230BCC" w:rsidP="00365F83">
      <w:pPr>
        <w:pStyle w:val="Heading1"/>
      </w:pPr>
      <w:bookmarkStart w:id="84" w:name="_Toc436754852"/>
      <w:r>
        <w:lastRenderedPageBreak/>
        <w:t>7</w:t>
      </w:r>
      <w:r w:rsidR="00365F83">
        <w:tab/>
        <w:t>Trans</w:t>
      </w:r>
      <w:r w:rsidR="00CC6A10">
        <w:t>ition and implementation</w:t>
      </w:r>
      <w:bookmarkEnd w:id="84"/>
    </w:p>
    <w:p w14:paraId="05E92A11" w14:textId="47D8850F" w:rsidR="009B3117" w:rsidRDefault="00230BCC" w:rsidP="00427332">
      <w:pPr>
        <w:pStyle w:val="Heading2"/>
      </w:pPr>
      <w:bookmarkStart w:id="85" w:name="_Toc436754853"/>
      <w:r>
        <w:t>7</w:t>
      </w:r>
      <w:r w:rsidR="009B3117">
        <w:t xml:space="preserve">.1 </w:t>
      </w:r>
      <w:r w:rsidR="00427332">
        <w:tab/>
      </w:r>
      <w:r>
        <w:t>Proposed t</w:t>
      </w:r>
      <w:r w:rsidR="009B3117">
        <w:t>ransitional period</w:t>
      </w:r>
      <w:bookmarkEnd w:id="85"/>
      <w:r w:rsidR="009B3117">
        <w:t xml:space="preserve"> </w:t>
      </w:r>
    </w:p>
    <w:p w14:paraId="5CFF7A3B" w14:textId="77777777" w:rsidR="002035D3" w:rsidRDefault="002035D3" w:rsidP="00CB775D">
      <w:r>
        <w:t xml:space="preserve">Arrangements for the transition from the Code’s current nutritive </w:t>
      </w:r>
      <w:r w:rsidR="00B179DE">
        <w:t xml:space="preserve">substance </w:t>
      </w:r>
      <w:r>
        <w:t xml:space="preserve">and novel </w:t>
      </w:r>
      <w:r w:rsidR="00B179DE">
        <w:t xml:space="preserve">foods </w:t>
      </w:r>
      <w:r>
        <w:t xml:space="preserve">provisions regime to </w:t>
      </w:r>
      <w:r w:rsidR="007E17EB">
        <w:t>a</w:t>
      </w:r>
      <w:r>
        <w:t xml:space="preserve"> new alternative </w:t>
      </w:r>
      <w:r w:rsidR="007E17EB">
        <w:t xml:space="preserve">regime </w:t>
      </w:r>
      <w:r>
        <w:t>will be required</w:t>
      </w:r>
      <w:r w:rsidR="007E17EB">
        <w:t xml:space="preserve"> for options 2 and 3 considered above</w:t>
      </w:r>
      <w:r>
        <w:t xml:space="preserve">. </w:t>
      </w:r>
    </w:p>
    <w:p w14:paraId="50012224" w14:textId="77777777" w:rsidR="002035D3" w:rsidRDefault="002035D3" w:rsidP="00CB775D"/>
    <w:p w14:paraId="5687B0D1" w14:textId="77777777" w:rsidR="002035D3" w:rsidRDefault="002035D3" w:rsidP="00CB775D">
      <w:pPr>
        <w:rPr>
          <w:lang w:bidi="ar-SA"/>
        </w:rPr>
      </w:pPr>
      <w:r>
        <w:t xml:space="preserve">Given the above-mentioned difficulties with definition, FSANZ considers a cut-off date could be specified – similar to the cut-off date approach for novel foods in the EU and USA. A cut-off date would objectively identify foods that would be subject to an alternative framework in the Code. The cut-off date could, </w:t>
      </w:r>
      <w:r>
        <w:rPr>
          <w:lang w:bidi="ar-SA"/>
        </w:rPr>
        <w:t>for example, be the gazettal date of a new standard in the Code</w:t>
      </w:r>
      <w:r w:rsidR="00267774">
        <w:rPr>
          <w:lang w:bidi="ar-SA"/>
        </w:rPr>
        <w:t>.</w:t>
      </w:r>
    </w:p>
    <w:p w14:paraId="2E9737CA" w14:textId="77777777" w:rsidR="002035D3" w:rsidRDefault="002035D3" w:rsidP="00CB775D">
      <w:pPr>
        <w:rPr>
          <w:lang w:bidi="ar-SA"/>
        </w:rPr>
      </w:pPr>
    </w:p>
    <w:p w14:paraId="7A440F81" w14:textId="77777777" w:rsidR="00142366" w:rsidRDefault="002035D3" w:rsidP="00427332">
      <w:r>
        <w:t xml:space="preserve">There is also the option of </w:t>
      </w:r>
      <w:r w:rsidR="00216BB5">
        <w:t xml:space="preserve">grandfathering </w:t>
      </w:r>
      <w:r>
        <w:t xml:space="preserve">provisions applying to </w:t>
      </w:r>
      <w:r w:rsidR="00216BB5">
        <w:t xml:space="preserve">foods on the market before </w:t>
      </w:r>
      <w:r>
        <w:t>that cut- off date</w:t>
      </w:r>
      <w:r w:rsidR="00216BB5">
        <w:t xml:space="preserve">. </w:t>
      </w:r>
      <w:r>
        <w:t xml:space="preserve">One option may be </w:t>
      </w:r>
      <w:r w:rsidR="00AE2117">
        <w:t xml:space="preserve">a </w:t>
      </w:r>
      <w:r w:rsidR="00427332" w:rsidRPr="0058235A">
        <w:t>6</w:t>
      </w:r>
      <w:r w:rsidR="005328CB">
        <w:t>-</w:t>
      </w:r>
      <w:r w:rsidR="00AE2117">
        <w:t>month transition period</w:t>
      </w:r>
      <w:r w:rsidR="007E17EB">
        <w:t xml:space="preserve"> to </w:t>
      </w:r>
      <w:r w:rsidR="00AE2117">
        <w:t xml:space="preserve">allow sufficient time to implement new processes </w:t>
      </w:r>
      <w:r w:rsidR="003E263C">
        <w:t xml:space="preserve">to comply with new provisions. </w:t>
      </w:r>
    </w:p>
    <w:p w14:paraId="2013C0E0" w14:textId="77777777" w:rsidR="007E17EB" w:rsidRDefault="007E17EB" w:rsidP="00427332"/>
    <w:p w14:paraId="30DB1257" w14:textId="77777777" w:rsidR="007E17EB" w:rsidRDefault="007E17EB" w:rsidP="00427332">
      <w:r>
        <w:t>A stock in trade provision may not be required depending on the nature of the grandfathering provisions.</w:t>
      </w:r>
    </w:p>
    <w:p w14:paraId="5F5B5996" w14:textId="77777777" w:rsidR="007E17EB" w:rsidRDefault="007E17EB" w:rsidP="00427332"/>
    <w:p w14:paraId="4E88C25B" w14:textId="77777777" w:rsidR="007E17EB" w:rsidRPr="003D597E"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b/>
          <w:sz w:val="22"/>
          <w:szCs w:val="22"/>
        </w:rPr>
      </w:pPr>
      <w:r w:rsidRPr="003D597E">
        <w:rPr>
          <w:b/>
          <w:sz w:val="22"/>
          <w:szCs w:val="22"/>
        </w:rPr>
        <w:t>Questions:</w:t>
      </w:r>
    </w:p>
    <w:p w14:paraId="6F95085A" w14:textId="77777777" w:rsidR="007E17EB"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p>
    <w:p w14:paraId="436E6918" w14:textId="77777777" w:rsidR="007E17EB"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r>
        <w:rPr>
          <w:sz w:val="22"/>
          <w:szCs w:val="22"/>
        </w:rPr>
        <w:t>Do you support a cut-off date? Please provide reasons for your view.</w:t>
      </w:r>
    </w:p>
    <w:p w14:paraId="7DC2960E" w14:textId="77777777" w:rsidR="007E17EB"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p>
    <w:p w14:paraId="2D039D36" w14:textId="77777777" w:rsidR="007E17EB" w:rsidRPr="008F13A1"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r w:rsidRPr="008F13A1">
        <w:rPr>
          <w:sz w:val="22"/>
          <w:szCs w:val="22"/>
        </w:rPr>
        <w:t>Do you see a need for grandfathering provisions? Please provide reasons for your view.</w:t>
      </w:r>
    </w:p>
    <w:p w14:paraId="7EB2D956" w14:textId="77777777" w:rsidR="007E17EB" w:rsidRPr="008F13A1"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p>
    <w:p w14:paraId="2E48A557" w14:textId="77777777" w:rsidR="007E17EB" w:rsidRPr="008F13A1" w:rsidRDefault="007E17EB" w:rsidP="007E17EB">
      <w:pPr>
        <w:pStyle w:val="CommentText"/>
        <w:pBdr>
          <w:top w:val="single" w:sz="4" w:space="1" w:color="auto"/>
          <w:left w:val="single" w:sz="4" w:space="4" w:color="auto"/>
          <w:bottom w:val="single" w:sz="4" w:space="1" w:color="auto"/>
          <w:right w:val="single" w:sz="4" w:space="4" w:color="auto"/>
        </w:pBdr>
        <w:shd w:val="clear" w:color="auto" w:fill="EAF1DD" w:themeFill="accent3" w:themeFillTint="33"/>
        <w:rPr>
          <w:sz w:val="22"/>
          <w:szCs w:val="22"/>
        </w:rPr>
      </w:pPr>
      <w:r w:rsidRPr="008F13A1">
        <w:rPr>
          <w:sz w:val="22"/>
          <w:szCs w:val="22"/>
        </w:rPr>
        <w:t>Do you see a need for a stock in trade provision? Please provide reasons for your view.</w:t>
      </w:r>
    </w:p>
    <w:p w14:paraId="5C040E43" w14:textId="46B38A3D" w:rsidR="00E558DF" w:rsidRDefault="00230BCC" w:rsidP="00427332">
      <w:pPr>
        <w:pStyle w:val="Heading2"/>
      </w:pPr>
      <w:bookmarkStart w:id="86" w:name="_Toc436754854"/>
      <w:r>
        <w:t>7</w:t>
      </w:r>
      <w:r w:rsidR="009B3117">
        <w:t>.2</w:t>
      </w:r>
      <w:r w:rsidR="00427332">
        <w:tab/>
      </w:r>
      <w:r w:rsidR="009B3117">
        <w:t>Implementation</w:t>
      </w:r>
      <w:bookmarkEnd w:id="86"/>
      <w:r w:rsidR="009B3117">
        <w:t xml:space="preserve"> </w:t>
      </w:r>
    </w:p>
    <w:p w14:paraId="22A40220" w14:textId="341BB4BF" w:rsidR="009B3117" w:rsidRDefault="00230BCC" w:rsidP="000D0DA9">
      <w:pPr>
        <w:pStyle w:val="Heading3"/>
      </w:pPr>
      <w:bookmarkStart w:id="87" w:name="_Toc436754855"/>
      <w:r>
        <w:t>7</w:t>
      </w:r>
      <w:r w:rsidR="00427332">
        <w:t>.2.1</w:t>
      </w:r>
      <w:r w:rsidR="00427332">
        <w:tab/>
      </w:r>
      <w:r w:rsidR="009B3117">
        <w:t>Enforcement and compliance</w:t>
      </w:r>
      <w:bookmarkEnd w:id="87"/>
      <w:r w:rsidR="009B3117">
        <w:t xml:space="preserve"> </w:t>
      </w:r>
    </w:p>
    <w:p w14:paraId="08F23AAE" w14:textId="3E13B09C" w:rsidR="004A100B" w:rsidRDefault="00B72418" w:rsidP="00427332">
      <w:r>
        <w:t xml:space="preserve">All suppliers and retailers of the food in question </w:t>
      </w:r>
      <w:r w:rsidR="006C5965">
        <w:t xml:space="preserve">need to comply with the revised provisions. For </w:t>
      </w:r>
      <w:r w:rsidR="00AC7512">
        <w:t>the self-assessment pathways identified in the draft framework accompanying o</w:t>
      </w:r>
      <w:r w:rsidR="006C5965">
        <w:t>ption 3</w:t>
      </w:r>
      <w:r w:rsidR="00261DB3">
        <w:t>,</w:t>
      </w:r>
      <w:r w:rsidR="006C5965">
        <w:t xml:space="preserve"> it is proposed that the food supplier e.g. the </w:t>
      </w:r>
      <w:r w:rsidR="004718F9">
        <w:t>new</w:t>
      </w:r>
      <w:r w:rsidR="00CB775D">
        <w:t xml:space="preserve"> food ingredient </w:t>
      </w:r>
      <w:r w:rsidR="006C5965">
        <w:t xml:space="preserve">manufacturer </w:t>
      </w:r>
      <w:r w:rsidR="00CB775D">
        <w:t xml:space="preserve">or supplier of the whole food </w:t>
      </w:r>
      <w:r w:rsidR="006C5965">
        <w:t>need</w:t>
      </w:r>
      <w:r w:rsidR="00CB775D">
        <w:t>s</w:t>
      </w:r>
      <w:r w:rsidR="006C5965">
        <w:t xml:space="preserve"> to </w:t>
      </w:r>
      <w:r w:rsidR="00AC7512">
        <w:t xml:space="preserve">meet assessment requirements in the Code. </w:t>
      </w:r>
      <w:r w:rsidR="00CF3894">
        <w:t xml:space="preserve">The Code would stipulate the </w:t>
      </w:r>
      <w:r w:rsidR="00AC7512">
        <w:t xml:space="preserve">food supplier </w:t>
      </w:r>
      <w:r w:rsidR="00CF3894">
        <w:t>must</w:t>
      </w:r>
      <w:r w:rsidR="00AC7512">
        <w:t xml:space="preserve"> </w:t>
      </w:r>
      <w:r w:rsidR="00CF3894">
        <w:t>satisfy</w:t>
      </w:r>
      <w:r w:rsidR="00AC7512">
        <w:t xml:space="preserve"> record keeping requirements (for foods meeting </w:t>
      </w:r>
      <w:r w:rsidR="00382579">
        <w:t xml:space="preserve">EFC </w:t>
      </w:r>
      <w:r w:rsidR="00AC7512">
        <w:t>for low-risk foods) or prepare and notify</w:t>
      </w:r>
      <w:r w:rsidR="00CF3894">
        <w:t xml:space="preserve"> / submit</w:t>
      </w:r>
      <w:r w:rsidR="00084A2A">
        <w:t xml:space="preserve"> a dossier to food regulators/</w:t>
      </w:r>
      <w:r w:rsidR="00AC7512">
        <w:t xml:space="preserve">authorities (foods not meeting the </w:t>
      </w:r>
      <w:r w:rsidR="00382579">
        <w:t>EFC</w:t>
      </w:r>
      <w:r w:rsidR="00AC7512">
        <w:t>)</w:t>
      </w:r>
      <w:r w:rsidR="00CF3894">
        <w:t xml:space="preserve">. </w:t>
      </w:r>
      <w:r w:rsidR="00CB775D">
        <w:t>T</w:t>
      </w:r>
      <w:r w:rsidR="006C5965">
        <w:t xml:space="preserve">he retailer has to have </w:t>
      </w:r>
      <w:r w:rsidR="005B5ED7">
        <w:t>documentation</w:t>
      </w:r>
      <w:r w:rsidR="006C5965">
        <w:t xml:space="preserve"> that c</w:t>
      </w:r>
      <w:r w:rsidR="006C5965" w:rsidRPr="006C5965">
        <w:t>omplia</w:t>
      </w:r>
      <w:r w:rsidR="006C5965">
        <w:t>nce and verification with the C</w:t>
      </w:r>
      <w:r w:rsidR="006C5965" w:rsidRPr="006C5965">
        <w:t>ode has been established by the supplier</w:t>
      </w:r>
      <w:r w:rsidR="006C5965">
        <w:t xml:space="preserve">.  </w:t>
      </w:r>
    </w:p>
    <w:p w14:paraId="4FC1C967" w14:textId="77777777" w:rsidR="00CB775D" w:rsidRDefault="00CB775D" w:rsidP="00427332"/>
    <w:p w14:paraId="585843FE" w14:textId="77777777" w:rsidR="00CB775D" w:rsidRPr="00B72418" w:rsidRDefault="00CB775D" w:rsidP="00427332">
      <w:r>
        <w:t xml:space="preserve">Further discussions with jurisdictions responsible for enforcement of any new provisions will be required to develop an approach to the implementation of the record-keeping and notification arrangements, should the graduated approach proceed. </w:t>
      </w:r>
    </w:p>
    <w:p w14:paraId="4D353D5E" w14:textId="25118FDF" w:rsidR="009B3117" w:rsidRDefault="00230BCC" w:rsidP="000D0DA9">
      <w:pPr>
        <w:pStyle w:val="Heading3"/>
      </w:pPr>
      <w:bookmarkStart w:id="88" w:name="_Toc436754856"/>
      <w:r>
        <w:t>7</w:t>
      </w:r>
      <w:r w:rsidR="00427332">
        <w:t>.2.2</w:t>
      </w:r>
      <w:r w:rsidR="00427332">
        <w:tab/>
      </w:r>
      <w:r w:rsidR="00344631">
        <w:t>A</w:t>
      </w:r>
      <w:r w:rsidR="00E96CB2">
        <w:t>wareness</w:t>
      </w:r>
      <w:r w:rsidR="00344631">
        <w:t xml:space="preserve"> of the new provisions</w:t>
      </w:r>
      <w:bookmarkEnd w:id="88"/>
      <w:r w:rsidR="00E96CB2">
        <w:t xml:space="preserve"> </w:t>
      </w:r>
    </w:p>
    <w:p w14:paraId="0E800DAD" w14:textId="1AC3FFA1" w:rsidR="00230BCC" w:rsidRDefault="00E96CB2" w:rsidP="00427332">
      <w:pPr>
        <w:rPr>
          <w:lang w:eastAsia="en-AU" w:bidi="ar-SA"/>
        </w:rPr>
      </w:pPr>
      <w:r>
        <w:rPr>
          <w:lang w:eastAsia="en-AU" w:bidi="ar-SA"/>
        </w:rPr>
        <w:t xml:space="preserve">For both option 2 </w:t>
      </w:r>
      <w:r w:rsidR="00427332">
        <w:rPr>
          <w:lang w:eastAsia="en-AU" w:bidi="ar-SA"/>
        </w:rPr>
        <w:t>and 3,</w:t>
      </w:r>
      <w:r>
        <w:rPr>
          <w:lang w:eastAsia="en-AU" w:bidi="ar-SA"/>
        </w:rPr>
        <w:t xml:space="preserve"> in order to achieve efficient and fit-for-purpose implementation</w:t>
      </w:r>
      <w:r w:rsidR="00D429E6">
        <w:rPr>
          <w:lang w:eastAsia="en-AU" w:bidi="ar-SA"/>
        </w:rPr>
        <w:t xml:space="preserve"> of the new provisions</w:t>
      </w:r>
      <w:r w:rsidR="00CB775D">
        <w:rPr>
          <w:lang w:eastAsia="en-AU" w:bidi="ar-SA"/>
        </w:rPr>
        <w:t>,</w:t>
      </w:r>
      <w:r>
        <w:rPr>
          <w:lang w:eastAsia="en-AU" w:bidi="ar-SA"/>
        </w:rPr>
        <w:t xml:space="preserve"> industry, including </w:t>
      </w:r>
      <w:r w:rsidR="0058235A">
        <w:rPr>
          <w:lang w:eastAsia="en-AU" w:bidi="ar-SA"/>
        </w:rPr>
        <w:t>small and medium enterprises (SME</w:t>
      </w:r>
      <w:r>
        <w:rPr>
          <w:lang w:eastAsia="en-AU" w:bidi="ar-SA"/>
        </w:rPr>
        <w:t>s</w:t>
      </w:r>
      <w:r w:rsidR="0058235A">
        <w:rPr>
          <w:lang w:eastAsia="en-AU" w:bidi="ar-SA"/>
        </w:rPr>
        <w:t>)</w:t>
      </w:r>
      <w:r>
        <w:rPr>
          <w:lang w:eastAsia="en-AU" w:bidi="ar-SA"/>
        </w:rPr>
        <w:t>, need to be</w:t>
      </w:r>
      <w:r w:rsidR="00D429E6">
        <w:rPr>
          <w:lang w:eastAsia="en-AU" w:bidi="ar-SA"/>
        </w:rPr>
        <w:t>come</w:t>
      </w:r>
      <w:r>
        <w:rPr>
          <w:lang w:eastAsia="en-AU" w:bidi="ar-SA"/>
        </w:rPr>
        <w:t xml:space="preserve"> familiar with the new provisions. To address this</w:t>
      </w:r>
      <w:r w:rsidR="00267774">
        <w:rPr>
          <w:lang w:eastAsia="en-AU" w:bidi="ar-SA"/>
        </w:rPr>
        <w:t>,</w:t>
      </w:r>
      <w:r>
        <w:rPr>
          <w:lang w:eastAsia="en-AU" w:bidi="ar-SA"/>
        </w:rPr>
        <w:t xml:space="preserve"> FSANZ considers it would be appropriate to work with peak bodies </w:t>
      </w:r>
      <w:r w:rsidR="0058235A">
        <w:rPr>
          <w:lang w:eastAsia="en-AU" w:bidi="ar-SA"/>
        </w:rPr>
        <w:t xml:space="preserve">to disseminate the information. </w:t>
      </w:r>
      <w:r>
        <w:rPr>
          <w:lang w:eastAsia="en-AU" w:bidi="ar-SA"/>
        </w:rPr>
        <w:t xml:space="preserve">This implementation issue </w:t>
      </w:r>
      <w:r w:rsidR="0065763A">
        <w:rPr>
          <w:lang w:eastAsia="en-AU" w:bidi="ar-SA"/>
        </w:rPr>
        <w:t xml:space="preserve">can </w:t>
      </w:r>
      <w:r>
        <w:rPr>
          <w:lang w:eastAsia="en-AU" w:bidi="ar-SA"/>
        </w:rPr>
        <w:t xml:space="preserve">be </w:t>
      </w:r>
      <w:r w:rsidR="00D429E6">
        <w:rPr>
          <w:lang w:eastAsia="en-AU" w:bidi="ar-SA"/>
        </w:rPr>
        <w:t xml:space="preserve">further </w:t>
      </w:r>
      <w:r>
        <w:rPr>
          <w:lang w:eastAsia="en-AU" w:bidi="ar-SA"/>
        </w:rPr>
        <w:t xml:space="preserve">explored in </w:t>
      </w:r>
      <w:r w:rsidR="0065763A">
        <w:rPr>
          <w:lang w:eastAsia="en-AU" w:bidi="ar-SA"/>
        </w:rPr>
        <w:t xml:space="preserve">a </w:t>
      </w:r>
      <w:r w:rsidR="00267774">
        <w:rPr>
          <w:lang w:eastAsia="en-AU" w:bidi="ar-SA"/>
        </w:rPr>
        <w:t xml:space="preserve">second </w:t>
      </w:r>
      <w:r w:rsidR="00261DB3">
        <w:rPr>
          <w:lang w:eastAsia="en-AU" w:bidi="ar-SA"/>
        </w:rPr>
        <w:t>call for submissions</w:t>
      </w:r>
      <w:r w:rsidR="0058235A">
        <w:rPr>
          <w:lang w:eastAsia="en-AU" w:bidi="ar-SA"/>
        </w:rPr>
        <w:t>.</w:t>
      </w:r>
      <w:r w:rsidR="00230BCC">
        <w:rPr>
          <w:lang w:eastAsia="en-AU" w:bidi="ar-SA"/>
        </w:rPr>
        <w:br w:type="page"/>
      </w:r>
    </w:p>
    <w:p w14:paraId="55157F07" w14:textId="77777777" w:rsidR="00D12C16" w:rsidRPr="00427332" w:rsidRDefault="00BF390F" w:rsidP="00427332">
      <w:pPr>
        <w:rPr>
          <w:lang w:eastAsia="en-AU"/>
        </w:rPr>
      </w:pPr>
      <w:r>
        <w:rPr>
          <w:lang w:eastAsia="en-AU" w:bidi="ar-SA"/>
        </w:rPr>
        <w:lastRenderedPageBreak/>
        <w:t>FSANZ is also aware that as part of the implementation process</w:t>
      </w:r>
      <w:r w:rsidR="00D429E6">
        <w:rPr>
          <w:lang w:eastAsia="en-AU" w:bidi="ar-SA"/>
        </w:rPr>
        <w:t>,</w:t>
      </w:r>
      <w:r>
        <w:rPr>
          <w:lang w:eastAsia="en-AU" w:bidi="ar-SA"/>
        </w:rPr>
        <w:t xml:space="preserve"> there may be need to include some training for enforcement officers to raise their awareness of, and expertise in dealing with the new provisions.  </w:t>
      </w:r>
      <w:r w:rsidR="00E96CB2">
        <w:rPr>
          <w:lang w:eastAsia="en-AU" w:bidi="ar-SA"/>
        </w:rPr>
        <w:t xml:space="preserve"> </w:t>
      </w:r>
    </w:p>
    <w:p w14:paraId="34B711ED" w14:textId="15D288D8" w:rsidR="000D049D" w:rsidRPr="000D049D" w:rsidRDefault="00230BCC" w:rsidP="000D0DA9">
      <w:pPr>
        <w:pStyle w:val="Heading3"/>
      </w:pPr>
      <w:bookmarkStart w:id="89" w:name="_Toc436754857"/>
      <w:r>
        <w:t>7</w:t>
      </w:r>
      <w:r w:rsidR="00427332">
        <w:t>.2.3</w:t>
      </w:r>
      <w:r w:rsidR="00427332">
        <w:tab/>
      </w:r>
      <w:r w:rsidR="000D049D">
        <w:t>Post-market surveillance</w:t>
      </w:r>
      <w:bookmarkEnd w:id="89"/>
      <w:r w:rsidR="000D049D">
        <w:t xml:space="preserve"> </w:t>
      </w:r>
    </w:p>
    <w:p w14:paraId="6E377787" w14:textId="36298F4D" w:rsidR="00A8662C" w:rsidRDefault="00A33754" w:rsidP="00427332">
      <w:r>
        <w:t>Post-market surveillance will be a key-issue for Option</w:t>
      </w:r>
      <w:r w:rsidR="0058235A">
        <w:t>s</w:t>
      </w:r>
      <w:r>
        <w:t xml:space="preserve"> 2 </w:t>
      </w:r>
      <w:r w:rsidR="0058235A">
        <w:t>and</w:t>
      </w:r>
      <w:r w:rsidR="00230BCC">
        <w:t xml:space="preserve"> 3. </w:t>
      </w:r>
      <w:r>
        <w:t xml:space="preserve">This issue </w:t>
      </w:r>
      <w:r w:rsidR="0065763A">
        <w:t xml:space="preserve">can </w:t>
      </w:r>
      <w:r>
        <w:t xml:space="preserve">be addressed in </w:t>
      </w:r>
      <w:r w:rsidR="00F07C89">
        <w:t xml:space="preserve">consultation with food regulatory agencies and in </w:t>
      </w:r>
      <w:r w:rsidR="0065763A">
        <w:t>a</w:t>
      </w:r>
      <w:r>
        <w:t xml:space="preserve"> 2</w:t>
      </w:r>
      <w:r w:rsidRPr="00427332">
        <w:rPr>
          <w:vertAlign w:val="superscript"/>
        </w:rPr>
        <w:t>nd</w:t>
      </w:r>
      <w:r>
        <w:t xml:space="preserve"> </w:t>
      </w:r>
      <w:r w:rsidR="00261DB3">
        <w:t>call for submissions</w:t>
      </w:r>
      <w:r>
        <w:t>.</w:t>
      </w:r>
    </w:p>
    <w:p w14:paraId="60F16C5A" w14:textId="77777777" w:rsidR="006A38C7" w:rsidRDefault="006A38C7" w:rsidP="00DE78B6">
      <w:pPr>
        <w:rPr>
          <w:lang w:bidi="ar-SA"/>
        </w:rPr>
      </w:pPr>
    </w:p>
    <w:tbl>
      <w:tblPr>
        <w:tblStyle w:val="TableGrid"/>
        <w:tblW w:w="0" w:type="auto"/>
        <w:tblLook w:val="04A0" w:firstRow="1" w:lastRow="0" w:firstColumn="1" w:lastColumn="0" w:noHBand="0" w:noVBand="1"/>
      </w:tblPr>
      <w:tblGrid>
        <w:gridCol w:w="9242"/>
      </w:tblGrid>
      <w:tr w:rsidR="00A8662C" w14:paraId="4B83C036" w14:textId="77777777" w:rsidTr="003D597E">
        <w:tc>
          <w:tcPr>
            <w:tcW w:w="9242" w:type="dxa"/>
            <w:shd w:val="clear" w:color="auto" w:fill="EAF1DD" w:themeFill="accent3" w:themeFillTint="33"/>
          </w:tcPr>
          <w:p w14:paraId="28D6B1B5" w14:textId="77777777" w:rsidR="00A8662C" w:rsidRPr="003D597E" w:rsidRDefault="005328CB" w:rsidP="003D597E">
            <w:pPr>
              <w:shd w:val="clear" w:color="auto" w:fill="EAF1DD" w:themeFill="accent3" w:themeFillTint="33"/>
              <w:rPr>
                <w:b/>
                <w:lang w:bidi="ar-SA"/>
              </w:rPr>
            </w:pPr>
            <w:r w:rsidRPr="003D597E">
              <w:rPr>
                <w:b/>
                <w:lang w:bidi="ar-SA"/>
              </w:rPr>
              <w:t>Questions:</w:t>
            </w:r>
          </w:p>
          <w:p w14:paraId="4F6C2DA4" w14:textId="77777777" w:rsidR="00A8662C" w:rsidRDefault="00A8662C" w:rsidP="003D597E">
            <w:pPr>
              <w:shd w:val="clear" w:color="auto" w:fill="EAF1DD" w:themeFill="accent3" w:themeFillTint="33"/>
              <w:rPr>
                <w:lang w:bidi="ar-SA"/>
              </w:rPr>
            </w:pPr>
          </w:p>
          <w:p w14:paraId="041FD1F6" w14:textId="77777777" w:rsidR="00A8662C" w:rsidRDefault="005A1A8D" w:rsidP="003D597E">
            <w:pPr>
              <w:widowControl/>
              <w:shd w:val="clear" w:color="auto" w:fill="EAF1DD" w:themeFill="accent3" w:themeFillTint="33"/>
            </w:pPr>
            <w:r>
              <w:t xml:space="preserve">Do you have any concerns regarding the proposed </w:t>
            </w:r>
            <w:r w:rsidR="00142366">
              <w:t>6</w:t>
            </w:r>
            <w:r>
              <w:t xml:space="preserve"> month transition period?</w:t>
            </w:r>
            <w:r w:rsidR="00A8662C" w:rsidRPr="006D6323">
              <w:t xml:space="preserve"> Please explain your </w:t>
            </w:r>
            <w:r>
              <w:t>concerns</w:t>
            </w:r>
            <w:r w:rsidR="00AF1152">
              <w:t xml:space="preserve">, noting the length of time the development of any future standard is likely to take and </w:t>
            </w:r>
            <w:r w:rsidR="0094363C">
              <w:t xml:space="preserve">will </w:t>
            </w:r>
            <w:r w:rsidR="00AF1152">
              <w:t xml:space="preserve">therefore </w:t>
            </w:r>
            <w:r w:rsidR="0094363C">
              <w:t xml:space="preserve">be </w:t>
            </w:r>
            <w:r w:rsidR="00AF1152">
              <w:t>clearly signposted before changes are made to the Code</w:t>
            </w:r>
            <w:r w:rsidR="00A8662C" w:rsidRPr="006D6323">
              <w:t>.</w:t>
            </w:r>
          </w:p>
          <w:p w14:paraId="53C674A0" w14:textId="77777777" w:rsidR="0058235A" w:rsidRDefault="0058235A" w:rsidP="003D597E">
            <w:pPr>
              <w:widowControl/>
              <w:shd w:val="clear" w:color="auto" w:fill="EAF1DD" w:themeFill="accent3" w:themeFillTint="33"/>
            </w:pPr>
          </w:p>
          <w:p w14:paraId="7F75090B" w14:textId="77777777" w:rsidR="00142366" w:rsidRDefault="00142366" w:rsidP="003D597E">
            <w:pPr>
              <w:widowControl/>
              <w:shd w:val="clear" w:color="auto" w:fill="EAF1DD" w:themeFill="accent3" w:themeFillTint="33"/>
            </w:pPr>
            <w:r>
              <w:t xml:space="preserve">Do you have any comments regarding the proposal not to allow a stock-in-trade provision during the transition period? </w:t>
            </w:r>
          </w:p>
          <w:p w14:paraId="47E8F2EA" w14:textId="77777777" w:rsidR="0058235A" w:rsidRDefault="0058235A" w:rsidP="003D597E">
            <w:pPr>
              <w:widowControl/>
              <w:shd w:val="clear" w:color="auto" w:fill="EAF1DD" w:themeFill="accent3" w:themeFillTint="33"/>
            </w:pPr>
          </w:p>
          <w:p w14:paraId="4EBBE7E1" w14:textId="77777777" w:rsidR="00A8662C" w:rsidRPr="006D6323" w:rsidRDefault="00E96CB2" w:rsidP="003D597E">
            <w:pPr>
              <w:widowControl/>
              <w:shd w:val="clear" w:color="auto" w:fill="EAF1DD" w:themeFill="accent3" w:themeFillTint="33"/>
            </w:pPr>
            <w:r>
              <w:t>Do you have any suggestions as to which peak</w:t>
            </w:r>
            <w:r w:rsidR="00BF390F">
              <w:t xml:space="preserve"> bodies should be involved in familiarising industry of the new provisions? </w:t>
            </w:r>
          </w:p>
          <w:p w14:paraId="19BB79A8" w14:textId="77777777" w:rsidR="0058235A" w:rsidRDefault="0058235A" w:rsidP="003D597E">
            <w:pPr>
              <w:widowControl/>
              <w:shd w:val="clear" w:color="auto" w:fill="EAF1DD" w:themeFill="accent3" w:themeFillTint="33"/>
            </w:pPr>
          </w:p>
          <w:p w14:paraId="4836F07B" w14:textId="77777777" w:rsidR="00A8662C" w:rsidRDefault="00BF390F" w:rsidP="003D597E">
            <w:pPr>
              <w:widowControl/>
              <w:shd w:val="clear" w:color="auto" w:fill="EAF1DD" w:themeFill="accent3" w:themeFillTint="33"/>
            </w:pPr>
            <w:r w:rsidRPr="0058235A">
              <w:t xml:space="preserve">Do you have any suggestions on how the </w:t>
            </w:r>
            <w:r w:rsidR="005A1A8D" w:rsidRPr="0058235A">
              <w:t xml:space="preserve">implementation </w:t>
            </w:r>
            <w:r w:rsidRPr="0058235A">
              <w:t xml:space="preserve">process could be </w:t>
            </w:r>
            <w:r w:rsidR="005A1A8D" w:rsidRPr="0058235A">
              <w:t>approache</w:t>
            </w:r>
            <w:r w:rsidRPr="0058235A">
              <w:t>d</w:t>
            </w:r>
            <w:r w:rsidR="00D429E6">
              <w:t>, especially with respect to enhancing awareness and understanding of the potential new provisions under Option 3</w:t>
            </w:r>
            <w:r w:rsidRPr="0058235A">
              <w:t xml:space="preserve">? </w:t>
            </w:r>
          </w:p>
          <w:p w14:paraId="7EB47F56" w14:textId="77777777" w:rsidR="0058235A" w:rsidRDefault="0058235A" w:rsidP="003D597E">
            <w:pPr>
              <w:widowControl/>
              <w:shd w:val="clear" w:color="auto" w:fill="EAF1DD" w:themeFill="accent3" w:themeFillTint="33"/>
            </w:pPr>
          </w:p>
          <w:p w14:paraId="6D861295" w14:textId="77777777" w:rsidR="00A8662C" w:rsidRDefault="00A33754" w:rsidP="003D597E">
            <w:pPr>
              <w:widowControl/>
              <w:shd w:val="clear" w:color="auto" w:fill="EAF1DD" w:themeFill="accent3" w:themeFillTint="33"/>
              <w:rPr>
                <w:lang w:bidi="ar-SA"/>
              </w:rPr>
            </w:pPr>
            <w:r>
              <w:t xml:space="preserve">Are there any particular comments you feel are appropriate to ensuring satisfactory post-market surveillance? </w:t>
            </w:r>
          </w:p>
        </w:tc>
      </w:tr>
    </w:tbl>
    <w:p w14:paraId="1871A89E" w14:textId="77777777" w:rsidR="00A8662C" w:rsidRDefault="00A8662C" w:rsidP="00DE78B6">
      <w:pPr>
        <w:rPr>
          <w:lang w:bidi="ar-SA"/>
        </w:rPr>
      </w:pPr>
    </w:p>
    <w:p w14:paraId="5B5E766F" w14:textId="36B43489" w:rsidR="00DE78B6" w:rsidRDefault="00230BCC" w:rsidP="00DE78B6">
      <w:pPr>
        <w:pStyle w:val="Heading1"/>
      </w:pPr>
      <w:bookmarkStart w:id="90" w:name="_Toc436754858"/>
      <w:r>
        <w:t>8</w:t>
      </w:r>
      <w:r w:rsidR="00DE78B6">
        <w:tab/>
        <w:t>Communication</w:t>
      </w:r>
      <w:bookmarkEnd w:id="90"/>
    </w:p>
    <w:p w14:paraId="51F273A3" w14:textId="77777777" w:rsidR="00FE669E" w:rsidRDefault="00FE669E" w:rsidP="00FE669E">
      <w:bookmarkStart w:id="91" w:name="_Toc300933437"/>
      <w:bookmarkStart w:id="92" w:name="_Toc393445369"/>
      <w:bookmarkStart w:id="93" w:name="_Toc286391012"/>
      <w:r>
        <w:t xml:space="preserve">Consultation is a key part of FSANZ’s standards development process. FSANZ has prepared a communication strategy for this Proposal, which includes targeted communication with key stakeholders and </w:t>
      </w:r>
      <w:r w:rsidR="007C72BA">
        <w:t>preparing</w:t>
      </w:r>
      <w:r>
        <w:t xml:space="preserve"> information for the broader community. </w:t>
      </w:r>
    </w:p>
    <w:p w14:paraId="5D4B22F5" w14:textId="77777777" w:rsidR="00FE669E" w:rsidRDefault="00FE669E" w:rsidP="00FE669E">
      <w:pPr>
        <w:rPr>
          <w:szCs w:val="22"/>
        </w:rPr>
      </w:pPr>
    </w:p>
    <w:p w14:paraId="2688FCAE" w14:textId="77777777" w:rsidR="00FE669E" w:rsidRPr="00113366" w:rsidRDefault="00FE669E" w:rsidP="00FE669E">
      <w:pPr>
        <w:rPr>
          <w:szCs w:val="22"/>
        </w:rPr>
      </w:pPr>
      <w:r w:rsidRPr="00113366">
        <w:rPr>
          <w:szCs w:val="22"/>
        </w:rPr>
        <w:t>All calls for submissions are notified via the FSANZ Notification Circular, media release and through FSANZ’s social media tools and Food Standards News. Subscribers and interested parties are notified about the availability of reports for public comment.</w:t>
      </w:r>
    </w:p>
    <w:p w14:paraId="7052535C" w14:textId="77777777" w:rsidR="00FE669E" w:rsidRPr="00113366" w:rsidRDefault="00FE669E" w:rsidP="00FE669E">
      <w:pPr>
        <w:rPr>
          <w:szCs w:val="22"/>
        </w:rPr>
      </w:pPr>
    </w:p>
    <w:p w14:paraId="2154DA73" w14:textId="77777777" w:rsidR="00FE669E" w:rsidRDefault="00FE669E" w:rsidP="00FE669E">
      <w:pPr>
        <w:rPr>
          <w:szCs w:val="22"/>
        </w:rPr>
      </w:pPr>
      <w:r w:rsidRPr="00113366">
        <w:rPr>
          <w:szCs w:val="22"/>
        </w:rPr>
        <w:t>FSANZ acknowledges the time taken by individuals and organisations to make submissions on this Proposal. The process by which FSANZ considers standard matters is open, accountable, consultative and transparent. Public submissions are called to obtain the views of interested parties on the draft variation to the Code. FSANZ places all related Proposal documents and submissions on the FSANZ website. All public comments received are reviewed and considered by the FSANZ Board</w:t>
      </w:r>
      <w:r>
        <w:rPr>
          <w:szCs w:val="22"/>
        </w:rPr>
        <w:t xml:space="preserve"> in making its final decision</w:t>
      </w:r>
      <w:r w:rsidRPr="00113366">
        <w:rPr>
          <w:szCs w:val="22"/>
        </w:rPr>
        <w:t xml:space="preserve">. </w:t>
      </w:r>
    </w:p>
    <w:p w14:paraId="4F4D2227" w14:textId="136443BE" w:rsidR="00D6043E" w:rsidRDefault="00230BCC" w:rsidP="00D6043E">
      <w:pPr>
        <w:pStyle w:val="Heading2"/>
      </w:pPr>
      <w:bookmarkStart w:id="94" w:name="_Toc436754859"/>
      <w:r>
        <w:t>8</w:t>
      </w:r>
      <w:r w:rsidR="00D6043E">
        <w:t>.1</w:t>
      </w:r>
      <w:r w:rsidR="00D6043E">
        <w:tab/>
        <w:t>Consultation</w:t>
      </w:r>
      <w:bookmarkEnd w:id="91"/>
      <w:bookmarkEnd w:id="92"/>
      <w:bookmarkEnd w:id="94"/>
    </w:p>
    <w:p w14:paraId="5D240ABB" w14:textId="22541AE4" w:rsidR="00D6043E" w:rsidRPr="00B60CEA" w:rsidRDefault="00230BCC" w:rsidP="000D0DA9">
      <w:pPr>
        <w:pStyle w:val="Heading3"/>
      </w:pPr>
      <w:bookmarkStart w:id="95" w:name="_Toc436754860"/>
      <w:bookmarkEnd w:id="93"/>
      <w:r>
        <w:t>8</w:t>
      </w:r>
      <w:r w:rsidR="00F640F9">
        <w:t>.</w:t>
      </w:r>
      <w:r w:rsidR="00B60CEA">
        <w:t>1.1</w:t>
      </w:r>
      <w:r w:rsidR="00B60CEA">
        <w:tab/>
      </w:r>
      <w:r w:rsidR="00D6043E">
        <w:t>Preliminary Consultation 2012</w:t>
      </w:r>
      <w:bookmarkEnd w:id="95"/>
    </w:p>
    <w:p w14:paraId="1EE9EA40" w14:textId="77777777" w:rsidR="00230BCC" w:rsidRDefault="00D6043E" w:rsidP="00D6043E">
      <w:r>
        <w:t>Before preparing this Proposal, FSANZ released a consultation paper</w:t>
      </w:r>
      <w:r>
        <w:rPr>
          <w:rStyle w:val="FootnoteReference"/>
          <w:i/>
        </w:rPr>
        <w:footnoteReference w:id="15"/>
      </w:r>
      <w:r>
        <w:t xml:space="preserve"> in March 2012. </w:t>
      </w:r>
      <w:r w:rsidR="00230BCC">
        <w:br w:type="page"/>
      </w:r>
    </w:p>
    <w:p w14:paraId="4ABC9C99" w14:textId="638C7824" w:rsidR="00D6043E" w:rsidRDefault="00D6043E" w:rsidP="00D6043E">
      <w:r>
        <w:lastRenderedPageBreak/>
        <w:t xml:space="preserve">The objective of the consultation paper was to seek feedback on a proposed alternative approach to the regulation of nutritive substances and novel foods in the Code. During the consultation period, FSANZ held targeted conversations with the Australian Food and Grocery Council (AFGC) and industry </w:t>
      </w:r>
      <w:r w:rsidR="008E3559">
        <w:t>members</w:t>
      </w:r>
      <w:r>
        <w:t xml:space="preserve"> </w:t>
      </w:r>
      <w:r w:rsidR="008E3559">
        <w:t xml:space="preserve">and with other government agencies responsible for food regulation. </w:t>
      </w:r>
    </w:p>
    <w:p w14:paraId="40D06C4E" w14:textId="77777777" w:rsidR="00D6043E" w:rsidRDefault="00D6043E" w:rsidP="00D6043E"/>
    <w:p w14:paraId="16D7B432" w14:textId="77777777" w:rsidR="00D6043E" w:rsidRDefault="00D6043E" w:rsidP="00D6043E">
      <w:r>
        <w:t xml:space="preserve">FSANZ presented an alternative approach aimed at providing greater clarity and regulatory certainty for industry and regulators, while also protecting public health and safety. The concept of criteria being included in the Code to identify foods which do or do not require pre-market approval was introduced, along with different assessment processes. The consultation paper described the approach in principle and sought comments on specific aspects of the approach. </w:t>
      </w:r>
    </w:p>
    <w:p w14:paraId="6C289D0E" w14:textId="77777777" w:rsidR="00D6043E" w:rsidRDefault="00D6043E" w:rsidP="00D6043E"/>
    <w:p w14:paraId="6D1E1972" w14:textId="77777777" w:rsidR="00D6043E" w:rsidRDefault="00D6043E" w:rsidP="00D6043E">
      <w:r>
        <w:t>FSANZ received 22 written submissions with varying levels of support and opposition to the proposed approach. The following six key issues were distilled from the submissions to the consultation paper.</w:t>
      </w:r>
    </w:p>
    <w:p w14:paraId="36C311E4" w14:textId="77777777" w:rsidR="00D6043E" w:rsidRDefault="00D6043E" w:rsidP="00D6043E"/>
    <w:p w14:paraId="74922BD2" w14:textId="77777777" w:rsidR="00D6043E" w:rsidRDefault="00D6043E" w:rsidP="005328CB">
      <w:pPr>
        <w:pStyle w:val="ListParagraph"/>
        <w:widowControl/>
        <w:numPr>
          <w:ilvl w:val="0"/>
          <w:numId w:val="5"/>
        </w:numPr>
        <w:ind w:left="567" w:hanging="567"/>
      </w:pPr>
      <w:r>
        <w:t>A number of submitters suggested the case for changing the current Code provisions was not well established in the consultation paper.</w:t>
      </w:r>
    </w:p>
    <w:p w14:paraId="26A808E2" w14:textId="77777777" w:rsidR="00D6043E" w:rsidRDefault="009D5C73" w:rsidP="005328CB">
      <w:pPr>
        <w:pStyle w:val="ListParagraph"/>
        <w:widowControl/>
        <w:numPr>
          <w:ilvl w:val="0"/>
          <w:numId w:val="5"/>
        </w:numPr>
        <w:ind w:left="567" w:hanging="567"/>
      </w:pPr>
      <w:r>
        <w:t>A</w:t>
      </w:r>
      <w:r w:rsidR="00D6043E">
        <w:t xml:space="preserve">ny change to the regulatory system </w:t>
      </w:r>
      <w:r w:rsidR="00B60CEA">
        <w:t>should be</w:t>
      </w:r>
      <w:r w:rsidR="00D6043E">
        <w:t xml:space="preserve"> proportionate to the risk/benefit for consumers, industry and government.</w:t>
      </w:r>
    </w:p>
    <w:p w14:paraId="176987AB" w14:textId="77777777" w:rsidR="00D6043E" w:rsidRDefault="009D5C73" w:rsidP="005328CB">
      <w:pPr>
        <w:pStyle w:val="ListParagraph"/>
        <w:widowControl/>
        <w:numPr>
          <w:ilvl w:val="0"/>
          <w:numId w:val="5"/>
        </w:numPr>
        <w:ind w:left="567" w:hanging="567"/>
      </w:pPr>
      <w:r>
        <w:t>A</w:t>
      </w:r>
      <w:r w:rsidR="00D6043E">
        <w:t xml:space="preserve">ny new regulatory system </w:t>
      </w:r>
      <w:r w:rsidR="00B60CEA">
        <w:t>should improve</w:t>
      </w:r>
      <w:r w:rsidR="00D6043E">
        <w:t xml:space="preserve"> the protection of consumer health and safety.</w:t>
      </w:r>
    </w:p>
    <w:p w14:paraId="46865C20" w14:textId="77777777" w:rsidR="00D6043E" w:rsidRDefault="009D5C73" w:rsidP="005328CB">
      <w:pPr>
        <w:pStyle w:val="ListParagraph"/>
        <w:widowControl/>
        <w:numPr>
          <w:ilvl w:val="0"/>
          <w:numId w:val="5"/>
        </w:numPr>
        <w:ind w:left="567" w:hanging="567"/>
      </w:pPr>
      <w:r>
        <w:t>A</w:t>
      </w:r>
      <w:r w:rsidR="00D6043E">
        <w:t xml:space="preserve">ny new regulatory system </w:t>
      </w:r>
      <w:r w:rsidR="00B60CEA">
        <w:t>should</w:t>
      </w:r>
      <w:r w:rsidR="00D6043E">
        <w:t xml:space="preserve"> not</w:t>
      </w:r>
      <w:r w:rsidR="00B60CEA">
        <w:t xml:space="preserve"> be</w:t>
      </w:r>
      <w:r w:rsidR="00D6043E">
        <w:t xml:space="preserve"> an unnecessary burden on business, hamper</w:t>
      </w:r>
      <w:r w:rsidR="00B60CEA">
        <w:t xml:space="preserve"> innovation and/or affect</w:t>
      </w:r>
      <w:r w:rsidR="00D6043E">
        <w:t xml:space="preserve"> confidentiality.</w:t>
      </w:r>
    </w:p>
    <w:p w14:paraId="2B890986" w14:textId="77777777" w:rsidR="00D6043E" w:rsidRDefault="009D5C73" w:rsidP="005328CB">
      <w:pPr>
        <w:pStyle w:val="ListParagraph"/>
        <w:widowControl/>
        <w:numPr>
          <w:ilvl w:val="0"/>
          <w:numId w:val="5"/>
        </w:numPr>
        <w:ind w:left="567" w:hanging="567"/>
      </w:pPr>
      <w:r>
        <w:t>A</w:t>
      </w:r>
      <w:r w:rsidR="00D6043E">
        <w:t xml:space="preserve">ny new regulatory system </w:t>
      </w:r>
      <w:r w:rsidR="00B0376D">
        <w:t xml:space="preserve">should </w:t>
      </w:r>
      <w:r w:rsidR="00D6043E">
        <w:t>result in an efficient, responsive and effective process that identified those substances that required pre-market risk assessment, and was consistent with international processes for novel foods.</w:t>
      </w:r>
    </w:p>
    <w:p w14:paraId="433F219C" w14:textId="77777777" w:rsidR="00D6043E" w:rsidRDefault="009D5C73" w:rsidP="005328CB">
      <w:pPr>
        <w:pStyle w:val="ListParagraph"/>
        <w:widowControl/>
        <w:numPr>
          <w:ilvl w:val="0"/>
          <w:numId w:val="5"/>
        </w:numPr>
        <w:ind w:left="567" w:hanging="567"/>
      </w:pPr>
      <w:r>
        <w:t>A</w:t>
      </w:r>
      <w:r w:rsidR="00D6043E">
        <w:t>ny new regulatory system provided regulatory certainty for enforcement agencies.</w:t>
      </w:r>
    </w:p>
    <w:p w14:paraId="67F945E5" w14:textId="77777777" w:rsidR="00D6043E" w:rsidRDefault="00D6043E" w:rsidP="00D6043E"/>
    <w:p w14:paraId="60FB556E" w14:textId="77777777" w:rsidR="00D6043E" w:rsidRDefault="00D6043E" w:rsidP="00D6043E">
      <w:r>
        <w:t xml:space="preserve">Given the </w:t>
      </w:r>
      <w:r w:rsidR="00FE669E">
        <w:t>range</w:t>
      </w:r>
      <w:r>
        <w:t xml:space="preserve"> of opinion</w:t>
      </w:r>
      <w:r w:rsidR="00FE669E">
        <w:t>s</w:t>
      </w:r>
      <w:r>
        <w:t>, FSANZ considered that it would be prudent to consult further with industry and government with a view to better understanding these issues. FSANZ hosted a workshop with industry and government agencies to discuss a number of issues pertaining to the future regulation of nutrient substances and novel foods (Sydney, 26 June 2012). This workshop was attended by 20 delegates from Australia and New Zealand, including six officers from FSANZ.</w:t>
      </w:r>
    </w:p>
    <w:p w14:paraId="250944BD" w14:textId="77777777" w:rsidR="00D6043E" w:rsidRDefault="00D6043E" w:rsidP="00D6043E"/>
    <w:p w14:paraId="6F9ED016" w14:textId="77777777" w:rsidR="00D6043E" w:rsidRDefault="00D6043E" w:rsidP="00D6043E">
      <w:r>
        <w:t>The workshop concluded that the current regulatory system for the addition of nutritive substances to food and the sale of novel foods was</w:t>
      </w:r>
      <w:r w:rsidR="00B60CEA">
        <w:t xml:space="preserve"> not viable in the longer term. The workshop also included a broad discussion of potential elements of an alternative approach to the current Code provisions. </w:t>
      </w:r>
    </w:p>
    <w:p w14:paraId="3AA1DC7F" w14:textId="26489D0C" w:rsidR="00D6043E" w:rsidRPr="00155718" w:rsidRDefault="00230BCC" w:rsidP="000D0DA9">
      <w:pPr>
        <w:pStyle w:val="Heading3"/>
      </w:pPr>
      <w:bookmarkStart w:id="96" w:name="_Toc436754861"/>
      <w:r>
        <w:t>8</w:t>
      </w:r>
      <w:r w:rsidR="00B60CEA">
        <w:t>.1.2</w:t>
      </w:r>
      <w:r w:rsidR="00B60CEA">
        <w:tab/>
      </w:r>
      <w:r w:rsidR="00EB75E5">
        <w:t>Cost/benefit consultation</w:t>
      </w:r>
      <w:bookmarkEnd w:id="96"/>
      <w:r w:rsidR="00D6043E">
        <w:t xml:space="preserve"> </w:t>
      </w:r>
    </w:p>
    <w:p w14:paraId="6E94BB64" w14:textId="77777777" w:rsidR="00D6043E" w:rsidRDefault="00B60CEA" w:rsidP="00D6043E">
      <w:r>
        <w:t xml:space="preserve">FSANZ commissioned a survey to examine potential costs to industry associated with complying with </w:t>
      </w:r>
      <w:r w:rsidR="00857322">
        <w:t xml:space="preserve">bringing a new nutrient or novel food to market in Australia and New Zealand. The survey was conducted by Catalyst Ltd. </w:t>
      </w:r>
      <w:r>
        <w:t xml:space="preserve">This survey included consideration of gaining approval of a </w:t>
      </w:r>
      <w:r w:rsidR="00857322">
        <w:t xml:space="preserve">nutrient or </w:t>
      </w:r>
      <w:r>
        <w:t>novel food via the FSANZ application process as well as the submission of enquiries to the ACNF for consideration. The results of the survey were varied and are examined in more detail in SD1</w:t>
      </w:r>
      <w:r w:rsidR="00857322">
        <w:t xml:space="preserve"> (a copy of the final survey report is included as an attachment to SD1)</w:t>
      </w:r>
      <w:r>
        <w:t xml:space="preserve">. </w:t>
      </w:r>
    </w:p>
    <w:p w14:paraId="352C685C" w14:textId="77777777" w:rsidR="00230BCC" w:rsidRDefault="00230BCC" w:rsidP="000D0DA9">
      <w:pPr>
        <w:pStyle w:val="Heading3"/>
      </w:pPr>
      <w:r>
        <w:br w:type="page"/>
      </w:r>
    </w:p>
    <w:p w14:paraId="5AE5E190" w14:textId="11D861CB" w:rsidR="00EB75E5" w:rsidRDefault="00230BCC" w:rsidP="000D0DA9">
      <w:pPr>
        <w:pStyle w:val="Heading3"/>
      </w:pPr>
      <w:bookmarkStart w:id="97" w:name="_Toc436754862"/>
      <w:r>
        <w:lastRenderedPageBreak/>
        <w:t>8</w:t>
      </w:r>
      <w:r w:rsidR="00EB75E5">
        <w:t>.1.3</w:t>
      </w:r>
      <w:r w:rsidR="00EB75E5">
        <w:tab/>
        <w:t>Food enforcement consultation</w:t>
      </w:r>
      <w:bookmarkEnd w:id="97"/>
    </w:p>
    <w:p w14:paraId="400B4347" w14:textId="6ABE0497" w:rsidR="005565E5" w:rsidRPr="000D6E5E" w:rsidRDefault="00FE669E" w:rsidP="005565E5">
      <w:r>
        <w:t>Before</w:t>
      </w:r>
      <w:r w:rsidR="00EB75E5">
        <w:t xml:space="preserve"> the release of th</w:t>
      </w:r>
      <w:r w:rsidR="005328CB">
        <w:t>is call for submissions</w:t>
      </w:r>
      <w:r w:rsidR="00EB75E5">
        <w:t xml:space="preserve">, FSANZ requested information from food enforcement agencies in Australia and New Zealand on the difficulties faced when attempting to enforce the current nutritive substance and novel food provisions in the Code. </w:t>
      </w:r>
      <w:r w:rsidR="00441270" w:rsidRPr="000D6E5E">
        <w:t>The information provided by these agencies has been used in developing section</w:t>
      </w:r>
      <w:r w:rsidR="00CA5717">
        <w:t>s</w:t>
      </w:r>
      <w:r w:rsidR="00441270" w:rsidRPr="000D6E5E">
        <w:t xml:space="preserve"> </w:t>
      </w:r>
      <w:r w:rsidR="00351B9A">
        <w:t>2</w:t>
      </w:r>
      <w:r w:rsidR="00441270" w:rsidRPr="000D6E5E">
        <w:t xml:space="preserve">.1 </w:t>
      </w:r>
      <w:r w:rsidR="00CA5717">
        <w:t xml:space="preserve">and </w:t>
      </w:r>
      <w:r w:rsidR="00351B9A">
        <w:t>3</w:t>
      </w:r>
      <w:r w:rsidR="00CA5717">
        <w:t xml:space="preserve">.1 </w:t>
      </w:r>
      <w:r w:rsidR="00441270" w:rsidRPr="000D6E5E">
        <w:t>and inclu</w:t>
      </w:r>
      <w:r w:rsidR="005565E5" w:rsidRPr="000D6E5E">
        <w:t xml:space="preserve">des evidence of the difficulties in interpreting the Code’s requirements and relying on Food Act safe and suitable provisions and the limitations these difficulties place on the confidence of food enforcement agencies taking successful action on non-compliance, including when there are concerns in relation to safety. </w:t>
      </w:r>
    </w:p>
    <w:p w14:paraId="0B20DF33" w14:textId="100ED203" w:rsidR="00FA6A99" w:rsidRDefault="00230BCC" w:rsidP="000D0DA9">
      <w:pPr>
        <w:pStyle w:val="Heading3"/>
      </w:pPr>
      <w:bookmarkStart w:id="98" w:name="_Toc436754863"/>
      <w:r>
        <w:t>8</w:t>
      </w:r>
      <w:r w:rsidR="00FA6A99">
        <w:t>.1.4</w:t>
      </w:r>
      <w:r w:rsidR="00FA6A99">
        <w:tab/>
        <w:t>Future consultation</w:t>
      </w:r>
      <w:bookmarkEnd w:id="98"/>
    </w:p>
    <w:p w14:paraId="071F6A4B" w14:textId="2E5B4786" w:rsidR="00683DC0" w:rsidRDefault="00FA6A99" w:rsidP="00FA6A99">
      <w:r>
        <w:t>This proposal will include two periods of public comment. Th</w:t>
      </w:r>
      <w:r w:rsidR="005328CB">
        <w:t>is call for submissions</w:t>
      </w:r>
      <w:r>
        <w:t xml:space="preserve"> request</w:t>
      </w:r>
      <w:r w:rsidR="008E3559">
        <w:t>s</w:t>
      </w:r>
      <w:r>
        <w:t xml:space="preserve"> </w:t>
      </w:r>
      <w:r w:rsidR="005328CB">
        <w:t xml:space="preserve">input </w:t>
      </w:r>
      <w:r>
        <w:t xml:space="preserve">from stakeholders on </w:t>
      </w:r>
      <w:r w:rsidR="000D6C84">
        <w:t xml:space="preserve">the options, including </w:t>
      </w:r>
      <w:r>
        <w:t>costs and benefits</w:t>
      </w:r>
      <w:r w:rsidR="000D6C84">
        <w:t>,</w:t>
      </w:r>
      <w:r>
        <w:t xml:space="preserve"> in order to </w:t>
      </w:r>
      <w:r w:rsidR="0065763A">
        <w:t xml:space="preserve">inform a decision on whether to prepare an food regulatory measure for this proposal and, if so, to </w:t>
      </w:r>
      <w:r>
        <w:t>further develop options for improving the regulation of nutritive substances and novel foods</w:t>
      </w:r>
      <w:r w:rsidR="008E3559">
        <w:t>, particularly in relation to all elements of the graduated risk approach presented in section </w:t>
      </w:r>
      <w:r w:rsidR="00230BCC">
        <w:t>4</w:t>
      </w:r>
      <w:r w:rsidR="008E3559">
        <w:t>.</w:t>
      </w:r>
      <w:r w:rsidR="00CA5717">
        <w:t>2.</w:t>
      </w:r>
      <w:r w:rsidR="008E3559">
        <w:t>3</w:t>
      </w:r>
      <w:r>
        <w:t xml:space="preserve">. </w:t>
      </w:r>
      <w:r w:rsidR="0065763A">
        <w:t xml:space="preserve">Preparation of a food regulatory measure will require a </w:t>
      </w:r>
      <w:r w:rsidR="000D6C84">
        <w:t>2</w:t>
      </w:r>
      <w:r w:rsidR="000D6C84" w:rsidRPr="000D6C84">
        <w:rPr>
          <w:vertAlign w:val="superscript"/>
        </w:rPr>
        <w:t>nd</w:t>
      </w:r>
      <w:r w:rsidR="000D6C84">
        <w:t xml:space="preserve"> </w:t>
      </w:r>
      <w:r w:rsidR="00261DB3">
        <w:t>call for submissions</w:t>
      </w:r>
      <w:r w:rsidR="0065763A">
        <w:t xml:space="preserve"> which</w:t>
      </w:r>
      <w:r w:rsidR="00261DB3">
        <w:t xml:space="preserve"> </w:t>
      </w:r>
      <w:r>
        <w:t xml:space="preserve">will request </w:t>
      </w:r>
      <w:r w:rsidR="00261DB3">
        <w:t xml:space="preserve">public comment </w:t>
      </w:r>
      <w:r>
        <w:t xml:space="preserve">on proposed drafting of regulatory measures developed </w:t>
      </w:r>
      <w:r w:rsidR="00261DB3">
        <w:t>following consideration of submissions on this assessment summary and related supporting documents</w:t>
      </w:r>
      <w:r>
        <w:t xml:space="preserve">. </w:t>
      </w:r>
    </w:p>
    <w:p w14:paraId="5B3D6CA7" w14:textId="77777777" w:rsidR="00683DC0" w:rsidRDefault="00683DC0" w:rsidP="00FA6A99"/>
    <w:p w14:paraId="5E7E1F5A" w14:textId="77777777" w:rsidR="00B0376D" w:rsidRDefault="00B0376D" w:rsidP="00FA6A99">
      <w:r>
        <w:t>Should the alternative graduated risk approach be progressed</w:t>
      </w:r>
      <w:r w:rsidR="0065763A">
        <w:t>,</w:t>
      </w:r>
      <w:r>
        <w:t xml:space="preserve"> the drafting for consultation at this stage will </w:t>
      </w:r>
      <w:r w:rsidR="0065763A">
        <w:t xml:space="preserve">need to </w:t>
      </w:r>
      <w:r>
        <w:t>cover:</w:t>
      </w:r>
    </w:p>
    <w:p w14:paraId="2785B3FC" w14:textId="77777777" w:rsidR="005328CB" w:rsidRDefault="005328CB" w:rsidP="00FA6A99"/>
    <w:p w14:paraId="4F56A0CA" w14:textId="6F8CA6C6" w:rsidR="00B0376D" w:rsidRDefault="00261DB3" w:rsidP="00C376D0">
      <w:pPr>
        <w:pStyle w:val="FSBullet1"/>
      </w:pPr>
      <w:r>
        <w:t>d</w:t>
      </w:r>
      <w:r w:rsidR="00B0376D">
        <w:t xml:space="preserve">escription of </w:t>
      </w:r>
      <w:r w:rsidR="00382579">
        <w:t>EFC</w:t>
      </w:r>
    </w:p>
    <w:p w14:paraId="496341D8" w14:textId="2A2DD1D9" w:rsidR="00B0376D" w:rsidRDefault="00261DB3" w:rsidP="00C376D0">
      <w:pPr>
        <w:pStyle w:val="FSBullet1"/>
      </w:pPr>
      <w:r>
        <w:t>r</w:t>
      </w:r>
      <w:r w:rsidR="00B0376D">
        <w:t xml:space="preserve">equirement for suppliers of novel foods which meet the </w:t>
      </w:r>
      <w:r w:rsidR="00382579">
        <w:t xml:space="preserve">EFC </w:t>
      </w:r>
      <w:r w:rsidR="00B0376D">
        <w:t xml:space="preserve">to hold supporting safety data and these data requirements </w:t>
      </w:r>
    </w:p>
    <w:p w14:paraId="7FE1DAD9" w14:textId="77777777" w:rsidR="00B0376D" w:rsidRDefault="00261DB3" w:rsidP="00C376D0">
      <w:pPr>
        <w:pStyle w:val="FSBullet1"/>
      </w:pPr>
      <w:r>
        <w:t>d</w:t>
      </w:r>
      <w:r w:rsidR="00B0376D">
        <w:t>escription of types of foods which can follow a self-assessment / notification pathway</w:t>
      </w:r>
    </w:p>
    <w:p w14:paraId="1695BFCE" w14:textId="77777777" w:rsidR="00B0376D" w:rsidRDefault="00261DB3" w:rsidP="00C376D0">
      <w:pPr>
        <w:pStyle w:val="FSBullet1"/>
      </w:pPr>
      <w:r>
        <w:t>d</w:t>
      </w:r>
      <w:r w:rsidR="00B0376D">
        <w:t>escription of the data requirements for this pathway</w:t>
      </w:r>
    </w:p>
    <w:p w14:paraId="09EBF6D0" w14:textId="77777777" w:rsidR="00B0376D" w:rsidRDefault="00261DB3" w:rsidP="00C376D0">
      <w:pPr>
        <w:pStyle w:val="FSBullet1"/>
      </w:pPr>
      <w:r>
        <w:t>d</w:t>
      </w:r>
      <w:r w:rsidR="00B0376D">
        <w:t>escription of the notification process</w:t>
      </w:r>
    </w:p>
    <w:p w14:paraId="3C684D26" w14:textId="77777777" w:rsidR="00B0376D" w:rsidRDefault="00261DB3" w:rsidP="00C376D0">
      <w:pPr>
        <w:pStyle w:val="FSBullet1"/>
      </w:pPr>
      <w:r>
        <w:t>r</w:t>
      </w:r>
      <w:r w:rsidR="00B0376D">
        <w:t>equirement for all other foods to seek pre-approval</w:t>
      </w:r>
    </w:p>
    <w:p w14:paraId="08647E81" w14:textId="77777777" w:rsidR="00B0376D" w:rsidRDefault="00261DB3" w:rsidP="00C376D0">
      <w:pPr>
        <w:pStyle w:val="FSBullet1"/>
      </w:pPr>
      <w:r>
        <w:t>e</w:t>
      </w:r>
      <w:r w:rsidR="00B0376D">
        <w:t>xclusivity provisions</w:t>
      </w:r>
    </w:p>
    <w:p w14:paraId="1255CA39" w14:textId="77777777" w:rsidR="00B0376D" w:rsidRDefault="00261DB3" w:rsidP="00C376D0">
      <w:pPr>
        <w:pStyle w:val="FSBullet1"/>
      </w:pPr>
      <w:r>
        <w:t>t</w:t>
      </w:r>
      <w:r w:rsidR="00B0376D">
        <w:t>ransition provisions</w:t>
      </w:r>
    </w:p>
    <w:p w14:paraId="003B9865" w14:textId="77777777" w:rsidR="00B0376D" w:rsidRDefault="00B0376D" w:rsidP="00FA6A99"/>
    <w:p w14:paraId="09520A33" w14:textId="77777777" w:rsidR="00FA6A99" w:rsidRDefault="00683DC0" w:rsidP="00FA6A99">
      <w:r>
        <w:t>W</w:t>
      </w:r>
      <w:r w:rsidR="000D6C84">
        <w:t>orkshop</w:t>
      </w:r>
      <w:r>
        <w:t>s</w:t>
      </w:r>
      <w:r w:rsidR="000D6C84">
        <w:t xml:space="preserve"> with stakeholders will be held early in the consultation period after t</w:t>
      </w:r>
      <w:r w:rsidR="005328CB">
        <w:t xml:space="preserve">his call for submissions </w:t>
      </w:r>
      <w:r w:rsidR="000D6C84">
        <w:t xml:space="preserve">and there may be further targeted consultation with key stakeholders before </w:t>
      </w:r>
      <w:r w:rsidR="00314D99">
        <w:t xml:space="preserve">a </w:t>
      </w:r>
      <w:r w:rsidR="000D6C84">
        <w:t>2</w:t>
      </w:r>
      <w:r w:rsidR="000D6C84" w:rsidRPr="000D6C84">
        <w:rPr>
          <w:vertAlign w:val="superscript"/>
        </w:rPr>
        <w:t>nd</w:t>
      </w:r>
      <w:r w:rsidR="000D6C84">
        <w:t xml:space="preserve"> </w:t>
      </w:r>
      <w:r w:rsidR="005328CB">
        <w:t>call for submissions</w:t>
      </w:r>
      <w:r w:rsidR="000D6C84">
        <w:t xml:space="preserve">. </w:t>
      </w:r>
    </w:p>
    <w:p w14:paraId="2B5E0026" w14:textId="4ADF740C" w:rsidR="00D6043E" w:rsidRDefault="00230BCC" w:rsidP="00D6043E">
      <w:pPr>
        <w:pStyle w:val="Heading2"/>
      </w:pPr>
      <w:bookmarkStart w:id="99" w:name="_Toc393445370"/>
      <w:bookmarkStart w:id="100" w:name="_Toc436754864"/>
      <w:r>
        <w:t>8</w:t>
      </w:r>
      <w:r w:rsidR="00D6043E">
        <w:t>.2</w:t>
      </w:r>
      <w:r w:rsidR="00D6043E">
        <w:tab/>
      </w:r>
      <w:r w:rsidR="00D6043E" w:rsidRPr="00A318EB">
        <w:t>World Trade Organization (WT</w:t>
      </w:r>
      <w:r w:rsidR="00D6043E">
        <w:t>O</w:t>
      </w:r>
      <w:r w:rsidR="00D6043E" w:rsidRPr="00932F14">
        <w:t>)</w:t>
      </w:r>
      <w:bookmarkEnd w:id="99"/>
      <w:bookmarkEnd w:id="100"/>
    </w:p>
    <w:p w14:paraId="50388DCE" w14:textId="77777777" w:rsidR="00D6043E" w:rsidRPr="00DC6570" w:rsidRDefault="00D6043E" w:rsidP="00D6043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14:paraId="24A50AE4" w14:textId="77777777" w:rsidR="00D6043E" w:rsidRDefault="00D6043E" w:rsidP="00D6043E">
      <w:pPr>
        <w:tabs>
          <w:tab w:val="left" w:pos="1560"/>
        </w:tabs>
        <w:rPr>
          <w:rFonts w:cs="Arial"/>
        </w:rPr>
      </w:pPr>
    </w:p>
    <w:p w14:paraId="6A9F9009" w14:textId="77777777" w:rsidR="00DE78B6" w:rsidRDefault="00D6043E" w:rsidP="00D6043E">
      <w:pPr>
        <w:rPr>
          <w:lang w:bidi="ar-SA"/>
        </w:rPr>
      </w:pPr>
      <w:r w:rsidRPr="00E44ED8">
        <w:rPr>
          <w:rFonts w:cs="Arial"/>
        </w:rPr>
        <w:t>This issue will be fully considered at the next stage of the assessment and, if necessary, notification will be made in accordance with Australia’s and New Zealand’s obligations under either the WTO Technical Barriers to Trade (TBT) or Sanitary and Phytosanitary Measures (SPS) Agreements. This will enable other WTO member countries to comment on any proposed amendments.</w:t>
      </w:r>
    </w:p>
    <w:p w14:paraId="04BEBD29" w14:textId="77777777" w:rsidR="00216FCF" w:rsidRPr="00D2135E" w:rsidRDefault="00216FCF" w:rsidP="00216FCF">
      <w:pPr>
        <w:tabs>
          <w:tab w:val="left" w:pos="1560"/>
        </w:tabs>
        <w:rPr>
          <w:rFonts w:cs="Arial"/>
        </w:rPr>
      </w:pPr>
    </w:p>
    <w:p w14:paraId="007372A7" w14:textId="77777777" w:rsidR="00230BCC" w:rsidRDefault="00230BCC" w:rsidP="000A7AFD">
      <w:pPr>
        <w:rPr>
          <w:b/>
          <w:sz w:val="28"/>
          <w:szCs w:val="28"/>
        </w:rPr>
      </w:pPr>
      <w:bookmarkStart w:id="101" w:name="_Toc393445378"/>
      <w:r>
        <w:rPr>
          <w:b/>
          <w:sz w:val="28"/>
          <w:szCs w:val="28"/>
        </w:rPr>
        <w:br w:type="page"/>
      </w:r>
    </w:p>
    <w:p w14:paraId="246B77B5" w14:textId="7B4AD251" w:rsidR="00216FCF" w:rsidRPr="000A7AFD" w:rsidRDefault="00216FCF" w:rsidP="000A7AFD">
      <w:pPr>
        <w:rPr>
          <w:b/>
          <w:sz w:val="28"/>
        </w:rPr>
      </w:pPr>
      <w:r w:rsidRPr="000A7AFD">
        <w:rPr>
          <w:b/>
          <w:sz w:val="28"/>
          <w:szCs w:val="28"/>
        </w:rPr>
        <w:lastRenderedPageBreak/>
        <w:t>Attachment</w:t>
      </w:r>
      <w:bookmarkEnd w:id="101"/>
      <w:r w:rsidR="000A7AFD">
        <w:rPr>
          <w:b/>
          <w:sz w:val="28"/>
          <w:szCs w:val="28"/>
        </w:rPr>
        <w:t>s</w:t>
      </w:r>
    </w:p>
    <w:p w14:paraId="49DC1BDE" w14:textId="77777777" w:rsidR="003D56C8" w:rsidRDefault="003D56C8" w:rsidP="001967B9">
      <w:bookmarkStart w:id="102" w:name="_Toc393445379"/>
    </w:p>
    <w:p w14:paraId="1C25E792" w14:textId="77777777" w:rsidR="004959DF" w:rsidRDefault="003D56C8" w:rsidP="001967B9">
      <w:r>
        <w:t>A</w:t>
      </w:r>
      <w:r w:rsidR="001967B9" w:rsidRPr="00D2135E">
        <w:t xml:space="preserve">. </w:t>
      </w:r>
      <w:r>
        <w:tab/>
      </w:r>
      <w:r w:rsidR="00216FCF" w:rsidRPr="00D2135E">
        <w:t xml:space="preserve">Summary of </w:t>
      </w:r>
      <w:r w:rsidR="009704A7">
        <w:t>q</w:t>
      </w:r>
      <w:r w:rsidR="00216FCF" w:rsidRPr="00D2135E">
        <w:t>uestions</w:t>
      </w:r>
      <w:bookmarkEnd w:id="102"/>
      <w:r w:rsidR="00216FCF" w:rsidRPr="00D2135E">
        <w:t xml:space="preserve"> </w:t>
      </w:r>
      <w:bookmarkStart w:id="103" w:name="_Toc393445380"/>
      <w:r w:rsidR="009704A7">
        <w:t>for submitters</w:t>
      </w:r>
    </w:p>
    <w:p w14:paraId="7531904C" w14:textId="77777777" w:rsidR="004959DF" w:rsidRDefault="004959DF" w:rsidP="001967B9">
      <w:r>
        <w:t>B</w:t>
      </w:r>
      <w:r>
        <w:tab/>
      </w:r>
      <w:r w:rsidR="0090733F">
        <w:t>Case study: Removing novel food from the market</w:t>
      </w:r>
    </w:p>
    <w:p w14:paraId="09799FA9" w14:textId="77777777" w:rsidR="008B4835" w:rsidRDefault="004959DF" w:rsidP="00900E47">
      <w:pPr>
        <w:ind w:left="567" w:hanging="567"/>
      </w:pPr>
      <w:r>
        <w:t>C</w:t>
      </w:r>
      <w:r w:rsidR="008B4835">
        <w:t>.</w:t>
      </w:r>
      <w:r w:rsidR="008B4835">
        <w:tab/>
      </w:r>
      <w:r w:rsidR="0090733F">
        <w:t>Draft framework for alternative approach</w:t>
      </w:r>
    </w:p>
    <w:p w14:paraId="19EEC707" w14:textId="4AC030CB" w:rsidR="0090733F" w:rsidRPr="00D2135E" w:rsidRDefault="0090733F" w:rsidP="00900E47">
      <w:pPr>
        <w:ind w:left="567" w:hanging="567"/>
      </w:pPr>
      <w:r>
        <w:t>D.</w:t>
      </w:r>
      <w:r>
        <w:tab/>
        <w:t>P</w:t>
      </w:r>
      <w:r w:rsidRPr="00D2135E">
        <w:t>rovisions for nutritive substances and novel foods in the Code</w:t>
      </w:r>
    </w:p>
    <w:bookmarkEnd w:id="103"/>
    <w:p w14:paraId="7702BE9A" w14:textId="77777777" w:rsidR="00DE78B6" w:rsidRDefault="00DE78B6" w:rsidP="00DE78B6">
      <w:pPr>
        <w:rPr>
          <w:lang w:bidi="ar-SA"/>
        </w:rPr>
      </w:pPr>
    </w:p>
    <w:p w14:paraId="3F5717E6" w14:textId="77777777" w:rsidR="008E59A6" w:rsidRDefault="008E59A6" w:rsidP="001967B9">
      <w:pPr>
        <w:pStyle w:val="Heading2"/>
      </w:pPr>
      <w:r>
        <w:br w:type="page"/>
      </w:r>
      <w:bookmarkStart w:id="104" w:name="_Toc436754865"/>
      <w:r>
        <w:lastRenderedPageBreak/>
        <w:t xml:space="preserve">Attachment </w:t>
      </w:r>
      <w:r w:rsidR="003D56C8">
        <w:t xml:space="preserve">A – </w:t>
      </w:r>
      <w:r w:rsidR="009704A7">
        <w:t>Summary of questions for submitters</w:t>
      </w:r>
      <w:bookmarkEnd w:id="104"/>
    </w:p>
    <w:p w14:paraId="335CC1A8" w14:textId="6A71B984" w:rsidR="00755454" w:rsidRPr="00F73626" w:rsidRDefault="00230BCC" w:rsidP="008E59A6">
      <w:pPr>
        <w:rPr>
          <w:b/>
        </w:rPr>
      </w:pPr>
      <w:r>
        <w:rPr>
          <w:b/>
        </w:rPr>
        <w:t>Refer section 3</w:t>
      </w:r>
      <w:r w:rsidR="00755454" w:rsidRPr="00F73626">
        <w:rPr>
          <w:b/>
        </w:rPr>
        <w:t>.3</w:t>
      </w:r>
    </w:p>
    <w:p w14:paraId="171E5BF0" w14:textId="77777777" w:rsidR="00755454" w:rsidRDefault="00755454" w:rsidP="00F73626">
      <w:pPr>
        <w:shd w:val="clear" w:color="auto" w:fill="FFFFFF" w:themeFill="background1"/>
        <w:rPr>
          <w:lang w:eastAsia="en-AU" w:bidi="ar-SA"/>
        </w:rPr>
      </w:pPr>
      <w:r w:rsidRPr="007B63D1">
        <w:rPr>
          <w:lang w:eastAsia="en-AU" w:bidi="ar-SA"/>
        </w:rPr>
        <w:t xml:space="preserve">How </w:t>
      </w:r>
      <w:r>
        <w:rPr>
          <w:lang w:eastAsia="en-AU" w:bidi="ar-SA"/>
        </w:rPr>
        <w:t>do the current novel food and nutritive substance definitions affect your organisation, either as a food business or a food enforcement agency?</w:t>
      </w:r>
    </w:p>
    <w:p w14:paraId="02B9D4CB" w14:textId="77777777" w:rsidR="00755454" w:rsidRDefault="00755454" w:rsidP="00F73626">
      <w:pPr>
        <w:shd w:val="clear" w:color="auto" w:fill="FFFFFF" w:themeFill="background1"/>
        <w:rPr>
          <w:lang w:eastAsia="en-AU" w:bidi="ar-SA"/>
        </w:rPr>
      </w:pPr>
    </w:p>
    <w:p w14:paraId="2E25119D" w14:textId="77777777" w:rsidR="00755454" w:rsidRDefault="00755454" w:rsidP="00F73626">
      <w:pPr>
        <w:shd w:val="clear" w:color="auto" w:fill="FFFFFF" w:themeFill="background1"/>
        <w:rPr>
          <w:lang w:eastAsia="en-AU" w:bidi="ar-SA"/>
        </w:rPr>
      </w:pPr>
      <w:r>
        <w:rPr>
          <w:lang w:eastAsia="en-AU" w:bidi="ar-SA"/>
        </w:rPr>
        <w:t>Do you believe there are problems with the current definitions in addition to those outlined in the assessment summary? If so, describe the problems.</w:t>
      </w:r>
    </w:p>
    <w:p w14:paraId="5F2191C5" w14:textId="77777777" w:rsidR="00755454" w:rsidRDefault="00755454" w:rsidP="00F73626">
      <w:pPr>
        <w:shd w:val="clear" w:color="auto" w:fill="FFFFFF" w:themeFill="background1"/>
        <w:rPr>
          <w:lang w:eastAsia="en-AU" w:bidi="ar-SA"/>
        </w:rPr>
      </w:pPr>
    </w:p>
    <w:p w14:paraId="25E22C54" w14:textId="77777777" w:rsidR="00755454" w:rsidRDefault="00755454" w:rsidP="00F73626">
      <w:pPr>
        <w:shd w:val="clear" w:color="auto" w:fill="FFFFFF" w:themeFill="background1"/>
        <w:rPr>
          <w:lang w:eastAsia="en-AU" w:bidi="ar-SA"/>
        </w:rPr>
      </w:pPr>
      <w:r>
        <w:rPr>
          <w:lang w:eastAsia="en-AU" w:bidi="ar-SA"/>
        </w:rPr>
        <w:t>Do you believe there are problems with the current provisions more broadly (not just the definitions) in addition to those outlined in assessment summary? If so, describe the problems.</w:t>
      </w:r>
    </w:p>
    <w:p w14:paraId="08BF3F2E" w14:textId="77777777" w:rsidR="00755454" w:rsidRDefault="00755454" w:rsidP="00F73626">
      <w:pPr>
        <w:shd w:val="clear" w:color="auto" w:fill="FFFFFF" w:themeFill="background1"/>
      </w:pPr>
    </w:p>
    <w:p w14:paraId="0E9D4694" w14:textId="7DEBD437" w:rsidR="00755454" w:rsidRPr="00F73626" w:rsidRDefault="00755454" w:rsidP="00F73626">
      <w:pPr>
        <w:shd w:val="clear" w:color="auto" w:fill="FFFFFF" w:themeFill="background1"/>
        <w:rPr>
          <w:b/>
        </w:rPr>
      </w:pPr>
      <w:r w:rsidRPr="00F73626">
        <w:rPr>
          <w:b/>
        </w:rPr>
        <w:t xml:space="preserve">Refer section </w:t>
      </w:r>
      <w:r w:rsidR="00230BCC">
        <w:rPr>
          <w:b/>
        </w:rPr>
        <w:t>4</w:t>
      </w:r>
      <w:r w:rsidRPr="00F73626">
        <w:rPr>
          <w:b/>
        </w:rPr>
        <w:t>.2.1</w:t>
      </w:r>
    </w:p>
    <w:p w14:paraId="0FF4E79B" w14:textId="77777777" w:rsidR="00755454" w:rsidRDefault="00755454" w:rsidP="00F73626">
      <w:pPr>
        <w:shd w:val="clear" w:color="auto" w:fill="FFFFFF" w:themeFill="background1"/>
        <w:rPr>
          <w:lang w:eastAsia="en-AU" w:bidi="ar-SA"/>
        </w:rPr>
      </w:pPr>
      <w:r>
        <w:rPr>
          <w:lang w:eastAsia="en-AU" w:bidi="ar-SA"/>
        </w:rPr>
        <w:t>Are there elements of the status quo that you support maintaining in the Code? If so, please provide details and reasons for your support.</w:t>
      </w:r>
    </w:p>
    <w:p w14:paraId="4165DBC8" w14:textId="77777777" w:rsidR="00755454" w:rsidRDefault="00755454" w:rsidP="00F73626">
      <w:pPr>
        <w:shd w:val="clear" w:color="auto" w:fill="FFFFFF" w:themeFill="background1"/>
        <w:rPr>
          <w:lang w:eastAsia="en-AU" w:bidi="ar-SA"/>
        </w:rPr>
      </w:pPr>
    </w:p>
    <w:p w14:paraId="7BAD6384" w14:textId="77777777" w:rsidR="00755454" w:rsidRPr="00126D26" w:rsidRDefault="00755454" w:rsidP="00F73626">
      <w:pPr>
        <w:shd w:val="clear" w:color="auto" w:fill="FFFFFF" w:themeFill="background1"/>
        <w:rPr>
          <w:lang w:eastAsia="en-AU" w:bidi="ar-SA"/>
        </w:rPr>
      </w:pPr>
      <w:r>
        <w:rPr>
          <w:lang w:eastAsia="en-AU" w:bidi="ar-SA"/>
        </w:rPr>
        <w:t>Can you identify any problems with the status quo in addition to those highlighted in this report? If so, please provide details.</w:t>
      </w:r>
    </w:p>
    <w:p w14:paraId="45CFB351" w14:textId="77777777" w:rsidR="00755454" w:rsidRDefault="00755454" w:rsidP="00F73626">
      <w:pPr>
        <w:shd w:val="clear" w:color="auto" w:fill="FFFFFF" w:themeFill="background1"/>
      </w:pPr>
    </w:p>
    <w:p w14:paraId="5D77B06D" w14:textId="7527819E" w:rsidR="00755454" w:rsidRPr="00F73626" w:rsidRDefault="00230BCC" w:rsidP="00F73626">
      <w:pPr>
        <w:shd w:val="clear" w:color="auto" w:fill="FFFFFF" w:themeFill="background1"/>
        <w:rPr>
          <w:b/>
        </w:rPr>
      </w:pPr>
      <w:r>
        <w:rPr>
          <w:b/>
        </w:rPr>
        <w:t>Refer section 4</w:t>
      </w:r>
      <w:r w:rsidR="00755454" w:rsidRPr="00F73626">
        <w:rPr>
          <w:b/>
        </w:rPr>
        <w:t>.2.2</w:t>
      </w:r>
    </w:p>
    <w:p w14:paraId="536039FE" w14:textId="7D7DAA94" w:rsidR="00755454" w:rsidRDefault="00755454" w:rsidP="00F73626">
      <w:pPr>
        <w:keepNext/>
        <w:keepLines/>
        <w:shd w:val="clear" w:color="auto" w:fill="FFFFFF" w:themeFill="background1"/>
        <w:rPr>
          <w:lang w:eastAsia="en-AU" w:bidi="ar-SA"/>
        </w:rPr>
      </w:pPr>
      <w:r>
        <w:rPr>
          <w:lang w:eastAsia="en-AU" w:bidi="ar-SA"/>
        </w:rPr>
        <w:t xml:space="preserve">Do you support amending the definitions of ‘novel food’ and ‘used as a nutritive substance’ in the Code? </w:t>
      </w:r>
      <w:r>
        <w:t xml:space="preserve">If so, FSANZ welcomes reasoned suggestions for amended definitions that will address the problems </w:t>
      </w:r>
      <w:r w:rsidR="00351B9A">
        <w:t>identified in sections 1 and 2</w:t>
      </w:r>
      <w:r>
        <w:t>.</w:t>
      </w:r>
    </w:p>
    <w:p w14:paraId="2D9D9573" w14:textId="77777777" w:rsidR="00755454" w:rsidRDefault="00755454" w:rsidP="00F73626">
      <w:pPr>
        <w:shd w:val="clear" w:color="auto" w:fill="FFFFFF" w:themeFill="background1"/>
      </w:pPr>
    </w:p>
    <w:p w14:paraId="117B1DE5" w14:textId="5E914AF5" w:rsidR="00755454" w:rsidRPr="00F73626" w:rsidRDefault="00230BCC" w:rsidP="00F73626">
      <w:pPr>
        <w:shd w:val="clear" w:color="auto" w:fill="FFFFFF" w:themeFill="background1"/>
        <w:rPr>
          <w:b/>
        </w:rPr>
      </w:pPr>
      <w:r>
        <w:rPr>
          <w:b/>
        </w:rPr>
        <w:t>Refer section 4</w:t>
      </w:r>
      <w:r w:rsidR="00755454" w:rsidRPr="00F73626">
        <w:rPr>
          <w:b/>
        </w:rPr>
        <w:t>.2.3.1</w:t>
      </w:r>
    </w:p>
    <w:p w14:paraId="060C3D06" w14:textId="77777777" w:rsidR="00CD11F0" w:rsidRDefault="00CD11F0" w:rsidP="00F73626">
      <w:pPr>
        <w:shd w:val="clear" w:color="auto" w:fill="FFFFFF" w:themeFill="background1"/>
      </w:pPr>
      <w:r>
        <w:t xml:space="preserve">Are the EFC appropriate for identifying foods that do not need regulatory approval? </w:t>
      </w:r>
    </w:p>
    <w:p w14:paraId="1E8DC774" w14:textId="77777777" w:rsidR="00CD11F0" w:rsidRDefault="00CD11F0" w:rsidP="00F73626">
      <w:pPr>
        <w:shd w:val="clear" w:color="auto" w:fill="FFFFFF" w:themeFill="background1"/>
      </w:pPr>
    </w:p>
    <w:p w14:paraId="4029706D" w14:textId="77777777" w:rsidR="00CD11F0" w:rsidRDefault="00CD11F0" w:rsidP="00F73626">
      <w:pPr>
        <w:shd w:val="clear" w:color="auto" w:fill="FFFFFF" w:themeFill="background1"/>
      </w:pPr>
      <w:r>
        <w:t xml:space="preserve">Are there foods that may meet the EFC that you consider should be subject to pre-market assessment? If so, please describe the properties of these foods. </w:t>
      </w:r>
    </w:p>
    <w:p w14:paraId="10CAE3C9" w14:textId="77777777" w:rsidR="00CD11F0" w:rsidRDefault="00CD11F0" w:rsidP="00F73626">
      <w:pPr>
        <w:shd w:val="clear" w:color="auto" w:fill="FFFFFF" w:themeFill="background1"/>
      </w:pPr>
    </w:p>
    <w:p w14:paraId="529155DC" w14:textId="16B678D7" w:rsidR="00CD11F0" w:rsidRDefault="00CD11F0" w:rsidP="00F73626">
      <w:pPr>
        <w:shd w:val="clear" w:color="auto" w:fill="FFFFFF" w:themeFill="background1"/>
      </w:pPr>
      <w:r>
        <w:t xml:space="preserve">Are there foods that would not meet the </w:t>
      </w:r>
      <w:r w:rsidR="00382579">
        <w:t>EFC</w:t>
      </w:r>
      <w:r>
        <w:t xml:space="preserve">, but you consider should be eligible? If so, please describe the properties of these foods. </w:t>
      </w:r>
    </w:p>
    <w:p w14:paraId="2C97A979" w14:textId="77777777" w:rsidR="00CD11F0" w:rsidRDefault="00CD11F0" w:rsidP="00F73626">
      <w:pPr>
        <w:shd w:val="clear" w:color="auto" w:fill="FFFFFF" w:themeFill="background1"/>
      </w:pPr>
    </w:p>
    <w:p w14:paraId="514D448C" w14:textId="77777777" w:rsidR="00CD11F0" w:rsidRDefault="00CD11F0" w:rsidP="00F73626">
      <w:pPr>
        <w:shd w:val="clear" w:color="auto" w:fill="FFFFFF" w:themeFill="background1"/>
      </w:pPr>
      <w:r>
        <w:t>What type of information do you think should be held by food businesses to support the safety of eligible foods? Please describe the type of information and why this information would support safety.</w:t>
      </w:r>
    </w:p>
    <w:p w14:paraId="1C4B948A" w14:textId="77777777" w:rsidR="00CD11F0" w:rsidRDefault="00CD11F0" w:rsidP="00F73626">
      <w:pPr>
        <w:shd w:val="clear" w:color="auto" w:fill="FFFFFF" w:themeFill="background1"/>
      </w:pPr>
    </w:p>
    <w:p w14:paraId="1A8E3845" w14:textId="77777777" w:rsidR="00CD11F0" w:rsidRDefault="00CD11F0" w:rsidP="00F73626">
      <w:pPr>
        <w:shd w:val="clear" w:color="auto" w:fill="FFFFFF" w:themeFill="background1"/>
      </w:pPr>
      <w:r>
        <w:t xml:space="preserve">Are the exclusions to the EFC appropriate in identifying foods that should be subject to pre-market assessment, despite otherwise meeting the EFC? </w:t>
      </w:r>
    </w:p>
    <w:p w14:paraId="5D116324" w14:textId="77777777" w:rsidR="00CD11F0" w:rsidRDefault="00CD11F0" w:rsidP="00F73626">
      <w:pPr>
        <w:shd w:val="clear" w:color="auto" w:fill="FFFFFF" w:themeFill="background1"/>
      </w:pPr>
    </w:p>
    <w:p w14:paraId="7F153F21" w14:textId="77777777" w:rsidR="00CD11F0" w:rsidRDefault="00CD11F0" w:rsidP="00F73626">
      <w:pPr>
        <w:shd w:val="clear" w:color="auto" w:fill="FFFFFF" w:themeFill="background1"/>
      </w:pPr>
      <w:r>
        <w:t>What do you consider would constitute a ‘reasonable potential’ for a food to have pharmacological effects at the intended levels of consumption? See SD3 for discussion on this issue.</w:t>
      </w:r>
    </w:p>
    <w:p w14:paraId="41C7A4B4" w14:textId="77777777" w:rsidR="00CD11F0" w:rsidRDefault="00CD11F0" w:rsidP="00F73626">
      <w:pPr>
        <w:shd w:val="clear" w:color="auto" w:fill="FFFFFF" w:themeFill="background1"/>
      </w:pPr>
    </w:p>
    <w:p w14:paraId="23065327" w14:textId="5246B4FB" w:rsidR="00CD11F0" w:rsidRPr="00F73626" w:rsidRDefault="00CD11F0" w:rsidP="00F73626">
      <w:pPr>
        <w:shd w:val="clear" w:color="auto" w:fill="FFFFFF" w:themeFill="background1"/>
        <w:rPr>
          <w:b/>
        </w:rPr>
      </w:pPr>
      <w:r w:rsidRPr="00F73626">
        <w:rPr>
          <w:b/>
        </w:rPr>
        <w:t>Refer sec</w:t>
      </w:r>
      <w:r w:rsidR="00230BCC">
        <w:rPr>
          <w:b/>
        </w:rPr>
        <w:t>tion 4</w:t>
      </w:r>
      <w:r w:rsidRPr="00F73626">
        <w:rPr>
          <w:b/>
        </w:rPr>
        <w:t>.2.3.3</w:t>
      </w:r>
    </w:p>
    <w:p w14:paraId="2EC40F02" w14:textId="77777777" w:rsidR="00CD11F0" w:rsidRDefault="00CD11F0" w:rsidP="00F73626">
      <w:pPr>
        <w:keepNext/>
        <w:keepLines/>
        <w:shd w:val="clear" w:color="auto" w:fill="FFFFFF" w:themeFill="background1"/>
      </w:pPr>
      <w:r>
        <w:t xml:space="preserve">Do you regard the investigation of an alternative approach to regulating nutritive substances and novel foods in the Code as a viable option? </w:t>
      </w:r>
    </w:p>
    <w:p w14:paraId="32807993" w14:textId="77777777" w:rsidR="00CD11F0" w:rsidRDefault="00CD11F0" w:rsidP="00F73626">
      <w:pPr>
        <w:keepNext/>
        <w:keepLines/>
        <w:shd w:val="clear" w:color="auto" w:fill="FFFFFF" w:themeFill="background1"/>
      </w:pPr>
    </w:p>
    <w:p w14:paraId="05C4B893" w14:textId="77777777" w:rsidR="00CD11F0" w:rsidRDefault="00CD11F0" w:rsidP="00F73626">
      <w:pPr>
        <w:shd w:val="clear" w:color="auto" w:fill="FFFFFF" w:themeFill="background1"/>
      </w:pPr>
      <w:r>
        <w:t>In particular, taking account of FSANZ’s primary objective of protecting public health and safety, is the draft framework presented in option 3 a viable option? What aspects of the draft framework do you think are viable or not viable? Please provide supporting statements for your view.</w:t>
      </w:r>
    </w:p>
    <w:p w14:paraId="66E98D68" w14:textId="1265E780" w:rsidR="00230BCC" w:rsidRDefault="00230BCC" w:rsidP="00F73626">
      <w:pPr>
        <w:shd w:val="clear" w:color="auto" w:fill="FFFFFF" w:themeFill="background1"/>
      </w:pPr>
      <w:r>
        <w:br w:type="page"/>
      </w:r>
    </w:p>
    <w:p w14:paraId="28E2BCDA" w14:textId="3B690353" w:rsidR="00CD11F0" w:rsidRDefault="00CD11F0" w:rsidP="00F73626">
      <w:pPr>
        <w:shd w:val="clear" w:color="auto" w:fill="FFFFFF" w:themeFill="background1"/>
      </w:pPr>
      <w:r>
        <w:lastRenderedPageBreak/>
        <w:t xml:space="preserve">Do you have suggestions for the type of foods that would not meet the </w:t>
      </w:r>
      <w:r w:rsidR="00382579">
        <w:t>EFC</w:t>
      </w:r>
      <w:r>
        <w:t xml:space="preserve">, but may be suitable for industry self-assessment? </w:t>
      </w:r>
    </w:p>
    <w:p w14:paraId="1D73CA85" w14:textId="77777777" w:rsidR="00CD11F0" w:rsidRDefault="00CD11F0" w:rsidP="00F73626">
      <w:pPr>
        <w:shd w:val="clear" w:color="auto" w:fill="FFFFFF" w:themeFill="background1"/>
      </w:pPr>
    </w:p>
    <w:p w14:paraId="7E2D0330" w14:textId="77777777" w:rsidR="00CD11F0" w:rsidRDefault="00CD11F0" w:rsidP="00F73626">
      <w:pPr>
        <w:shd w:val="clear" w:color="auto" w:fill="FFFFFF" w:themeFill="background1"/>
      </w:pPr>
      <w:r>
        <w:t>Please provide details of how a self-assessment pathway may or may not provide benefits to industry.</w:t>
      </w:r>
    </w:p>
    <w:p w14:paraId="1FE05574" w14:textId="77777777" w:rsidR="00CD11F0" w:rsidRDefault="00CD11F0" w:rsidP="00F73626">
      <w:pPr>
        <w:shd w:val="clear" w:color="auto" w:fill="FFFFFF" w:themeFill="background1"/>
      </w:pPr>
    </w:p>
    <w:p w14:paraId="7C3B1722" w14:textId="77777777" w:rsidR="00CD11F0" w:rsidRDefault="00CD11F0" w:rsidP="00F73626">
      <w:pPr>
        <w:shd w:val="clear" w:color="auto" w:fill="FFFFFF" w:themeFill="background1"/>
      </w:pPr>
      <w:r>
        <w:t xml:space="preserve">Would notification and publication of dossiers provide enough regulatory oversight and consumer confidence in relation to the safety of new foods? Please support your answer with detail of why you believe this is the case. </w:t>
      </w:r>
    </w:p>
    <w:p w14:paraId="01F364F2" w14:textId="77777777" w:rsidR="00CD11F0" w:rsidRDefault="00CD11F0" w:rsidP="008E59A6"/>
    <w:p w14:paraId="71745979" w14:textId="48097C84" w:rsidR="00CD11F0" w:rsidRPr="00F73626" w:rsidRDefault="00230BCC" w:rsidP="008E59A6">
      <w:pPr>
        <w:rPr>
          <w:b/>
        </w:rPr>
      </w:pPr>
      <w:r>
        <w:rPr>
          <w:b/>
        </w:rPr>
        <w:t>Refer section 4</w:t>
      </w:r>
      <w:r w:rsidR="00CD11F0" w:rsidRPr="00F73626">
        <w:rPr>
          <w:b/>
        </w:rPr>
        <w:t>.3.1</w:t>
      </w:r>
    </w:p>
    <w:p w14:paraId="67E230F6" w14:textId="6B7D2F85" w:rsidR="00CD11F0" w:rsidRPr="009C1187" w:rsidRDefault="00CD11F0" w:rsidP="00F73626">
      <w:pPr>
        <w:shd w:val="clear" w:color="auto" w:fill="FFFFFF" w:themeFill="background1"/>
      </w:pPr>
      <w:r>
        <w:t>Can you identify any negative impacts that may result from combining the regulation of novel foods and nutritive substances (other than vitamins and minerals) that may occur under a graduated risk approach? Please explain these impacts.</w:t>
      </w:r>
    </w:p>
    <w:p w14:paraId="3C94FF92" w14:textId="77777777" w:rsidR="00CD11F0" w:rsidRDefault="00CD11F0" w:rsidP="008E59A6"/>
    <w:p w14:paraId="71090E03" w14:textId="367ED5F5" w:rsidR="00CD11F0" w:rsidRPr="00F73626" w:rsidRDefault="00230BCC" w:rsidP="008E59A6">
      <w:pPr>
        <w:rPr>
          <w:b/>
        </w:rPr>
      </w:pPr>
      <w:r>
        <w:rPr>
          <w:b/>
        </w:rPr>
        <w:t>Refer section 6</w:t>
      </w:r>
      <w:r w:rsidR="00CD11F0" w:rsidRPr="00F73626">
        <w:rPr>
          <w:b/>
        </w:rPr>
        <w:t>.2</w:t>
      </w:r>
    </w:p>
    <w:p w14:paraId="1CF6F3C9" w14:textId="77777777" w:rsidR="00CD11F0" w:rsidRDefault="00CD11F0" w:rsidP="00F73626">
      <w:pPr>
        <w:pStyle w:val="CommentText"/>
        <w:shd w:val="clear" w:color="auto" w:fill="FFFFFF" w:themeFill="background1"/>
        <w:rPr>
          <w:sz w:val="22"/>
          <w:szCs w:val="22"/>
        </w:rPr>
      </w:pPr>
      <w:r>
        <w:rPr>
          <w:sz w:val="22"/>
          <w:szCs w:val="22"/>
        </w:rPr>
        <w:t>Do you support retaining the provision to grant exclusive permission in the Code for foods approved by FSANZ? Please provide reasons for your view.</w:t>
      </w:r>
    </w:p>
    <w:p w14:paraId="48F32E1A" w14:textId="77777777" w:rsidR="00CD11F0" w:rsidRDefault="00CD11F0" w:rsidP="00F73626">
      <w:pPr>
        <w:pStyle w:val="CommentText"/>
        <w:shd w:val="clear" w:color="auto" w:fill="FFFFFF" w:themeFill="background1"/>
        <w:rPr>
          <w:sz w:val="22"/>
          <w:szCs w:val="22"/>
        </w:rPr>
      </w:pPr>
    </w:p>
    <w:p w14:paraId="3E4B4FC7" w14:textId="1B7D8B14" w:rsidR="007C2AFF" w:rsidRDefault="00CD11F0" w:rsidP="00F73626">
      <w:pPr>
        <w:shd w:val="clear" w:color="auto" w:fill="FFFFFF" w:themeFill="background1"/>
        <w:rPr>
          <w:szCs w:val="22"/>
        </w:rPr>
      </w:pPr>
      <w:r>
        <w:rPr>
          <w:szCs w:val="22"/>
        </w:rPr>
        <w:t xml:space="preserve">Can you identify any issues that may arise if exclusive permissions are available for FSANZ approved foods, but not available for industry self-assessed foods? </w:t>
      </w:r>
      <w:r w:rsidR="00CA5717">
        <w:rPr>
          <w:szCs w:val="22"/>
        </w:rPr>
        <w:t>Would the self-assessment process for non-eligible foods provide a trade-off against the lack of an exclusive permission fo</w:t>
      </w:r>
      <w:r w:rsidR="00230BCC">
        <w:rPr>
          <w:szCs w:val="22"/>
        </w:rPr>
        <w:t>r self-assessed foods (section 4</w:t>
      </w:r>
      <w:r w:rsidR="00CA5717">
        <w:rPr>
          <w:szCs w:val="22"/>
        </w:rPr>
        <w:t>.2.3)?</w:t>
      </w:r>
    </w:p>
    <w:p w14:paraId="436BC311" w14:textId="77777777" w:rsidR="007C2AFF" w:rsidRDefault="007C2AFF" w:rsidP="00F73626">
      <w:pPr>
        <w:shd w:val="clear" w:color="auto" w:fill="FFFFFF" w:themeFill="background1"/>
        <w:rPr>
          <w:szCs w:val="22"/>
        </w:rPr>
      </w:pPr>
    </w:p>
    <w:p w14:paraId="18273227" w14:textId="1CF95AE3" w:rsidR="007C2AFF" w:rsidRPr="00F73626" w:rsidRDefault="007C2AFF" w:rsidP="00F73626">
      <w:pPr>
        <w:shd w:val="clear" w:color="auto" w:fill="FFFFFF" w:themeFill="background1"/>
        <w:rPr>
          <w:b/>
          <w:szCs w:val="22"/>
        </w:rPr>
      </w:pPr>
      <w:r w:rsidRPr="00F73626">
        <w:rPr>
          <w:b/>
          <w:szCs w:val="22"/>
        </w:rPr>
        <w:t xml:space="preserve">Refer section </w:t>
      </w:r>
      <w:r w:rsidR="00230BCC">
        <w:rPr>
          <w:b/>
          <w:szCs w:val="22"/>
        </w:rPr>
        <w:t>7</w:t>
      </w:r>
      <w:r w:rsidRPr="00F73626">
        <w:rPr>
          <w:b/>
          <w:szCs w:val="22"/>
        </w:rPr>
        <w:t>.1</w:t>
      </w:r>
    </w:p>
    <w:p w14:paraId="65F0B396" w14:textId="77777777" w:rsidR="007C2AFF" w:rsidRDefault="007C2AFF" w:rsidP="00F73626">
      <w:pPr>
        <w:pStyle w:val="CommentText"/>
        <w:shd w:val="clear" w:color="auto" w:fill="FFFFFF" w:themeFill="background1"/>
        <w:rPr>
          <w:sz w:val="22"/>
          <w:szCs w:val="22"/>
        </w:rPr>
      </w:pPr>
      <w:r>
        <w:rPr>
          <w:sz w:val="22"/>
          <w:szCs w:val="22"/>
        </w:rPr>
        <w:t>Do you support a cut-off date? Please provide reasons for your view.</w:t>
      </w:r>
    </w:p>
    <w:p w14:paraId="5E2661EC" w14:textId="77777777" w:rsidR="007C2AFF" w:rsidRDefault="007C2AFF" w:rsidP="00F73626">
      <w:pPr>
        <w:pStyle w:val="CommentText"/>
        <w:shd w:val="clear" w:color="auto" w:fill="FFFFFF" w:themeFill="background1"/>
        <w:rPr>
          <w:sz w:val="22"/>
          <w:szCs w:val="22"/>
        </w:rPr>
      </w:pPr>
    </w:p>
    <w:p w14:paraId="0187922D" w14:textId="77777777" w:rsidR="007C2AFF" w:rsidRPr="008F13A1" w:rsidRDefault="007C2AFF" w:rsidP="00F73626">
      <w:pPr>
        <w:pStyle w:val="CommentText"/>
        <w:shd w:val="clear" w:color="auto" w:fill="FFFFFF" w:themeFill="background1"/>
        <w:rPr>
          <w:sz w:val="22"/>
          <w:szCs w:val="22"/>
        </w:rPr>
      </w:pPr>
      <w:r w:rsidRPr="008F13A1">
        <w:rPr>
          <w:sz w:val="22"/>
          <w:szCs w:val="22"/>
        </w:rPr>
        <w:t>Do you see a need for grandfathering provisions? Please provide reasons for your view.</w:t>
      </w:r>
    </w:p>
    <w:p w14:paraId="48FF69FE" w14:textId="77777777" w:rsidR="007C2AFF" w:rsidRPr="008F13A1" w:rsidRDefault="007C2AFF" w:rsidP="00F73626">
      <w:pPr>
        <w:pStyle w:val="CommentText"/>
        <w:shd w:val="clear" w:color="auto" w:fill="FFFFFF" w:themeFill="background1"/>
        <w:rPr>
          <w:sz w:val="22"/>
          <w:szCs w:val="22"/>
        </w:rPr>
      </w:pPr>
    </w:p>
    <w:p w14:paraId="0991FE1C" w14:textId="77777777" w:rsidR="007C2AFF" w:rsidRPr="008F13A1" w:rsidRDefault="007C2AFF" w:rsidP="00F73626">
      <w:pPr>
        <w:pStyle w:val="CommentText"/>
        <w:shd w:val="clear" w:color="auto" w:fill="FFFFFF" w:themeFill="background1"/>
        <w:rPr>
          <w:sz w:val="22"/>
          <w:szCs w:val="22"/>
        </w:rPr>
      </w:pPr>
      <w:r w:rsidRPr="008F13A1">
        <w:rPr>
          <w:sz w:val="22"/>
          <w:szCs w:val="22"/>
        </w:rPr>
        <w:t>Do you see a need for a stock in trade provision? Please provide reasons for your view.</w:t>
      </w:r>
    </w:p>
    <w:p w14:paraId="40CE2607" w14:textId="77777777" w:rsidR="007C2AFF" w:rsidRDefault="007C2AFF" w:rsidP="00CD11F0"/>
    <w:p w14:paraId="3F95BAAD" w14:textId="0523212E" w:rsidR="007C2AFF" w:rsidRPr="00F73626" w:rsidRDefault="00230BCC" w:rsidP="00CD11F0">
      <w:pPr>
        <w:rPr>
          <w:b/>
        </w:rPr>
      </w:pPr>
      <w:r>
        <w:rPr>
          <w:b/>
        </w:rPr>
        <w:t>Refer section 7</w:t>
      </w:r>
      <w:r w:rsidR="007C2AFF" w:rsidRPr="00F73626">
        <w:rPr>
          <w:b/>
        </w:rPr>
        <w:t>.2.3</w:t>
      </w:r>
    </w:p>
    <w:p w14:paraId="457F4CE3" w14:textId="77777777" w:rsidR="007C2AFF" w:rsidRDefault="007C2AFF" w:rsidP="00F73626">
      <w:pPr>
        <w:widowControl/>
        <w:shd w:val="clear" w:color="auto" w:fill="FFFFFF" w:themeFill="background1"/>
      </w:pPr>
      <w:r>
        <w:t>Do you have any concerns regarding the proposed 6 month transition period?</w:t>
      </w:r>
      <w:r w:rsidRPr="006D6323">
        <w:t xml:space="preserve"> Please explain your </w:t>
      </w:r>
      <w:r>
        <w:t>concerns, noting the length of time the development of any future standard is likely to take and will therefore be clearly signposted before changes are made to the Code</w:t>
      </w:r>
      <w:r w:rsidRPr="006D6323">
        <w:t>.</w:t>
      </w:r>
    </w:p>
    <w:p w14:paraId="3FB580D3" w14:textId="77777777" w:rsidR="007C2AFF" w:rsidRDefault="007C2AFF" w:rsidP="00F73626">
      <w:pPr>
        <w:widowControl/>
        <w:shd w:val="clear" w:color="auto" w:fill="FFFFFF" w:themeFill="background1"/>
      </w:pPr>
    </w:p>
    <w:p w14:paraId="311BE8C2" w14:textId="77777777" w:rsidR="007C2AFF" w:rsidRDefault="007C2AFF" w:rsidP="00F73626">
      <w:pPr>
        <w:widowControl/>
        <w:shd w:val="clear" w:color="auto" w:fill="FFFFFF" w:themeFill="background1"/>
      </w:pPr>
      <w:r>
        <w:t xml:space="preserve">Do you have any comments regarding the proposal not to allow a stock-in-trade provision during the transition period? </w:t>
      </w:r>
    </w:p>
    <w:p w14:paraId="16BD269B" w14:textId="77777777" w:rsidR="007C2AFF" w:rsidRDefault="007C2AFF" w:rsidP="00F73626">
      <w:pPr>
        <w:widowControl/>
        <w:shd w:val="clear" w:color="auto" w:fill="FFFFFF" w:themeFill="background1"/>
      </w:pPr>
    </w:p>
    <w:p w14:paraId="717ED0C3" w14:textId="77777777" w:rsidR="007C2AFF" w:rsidRPr="006D6323" w:rsidRDefault="007C2AFF" w:rsidP="00F73626">
      <w:pPr>
        <w:widowControl/>
        <w:shd w:val="clear" w:color="auto" w:fill="FFFFFF" w:themeFill="background1"/>
      </w:pPr>
      <w:r>
        <w:t xml:space="preserve">Do you have any suggestions as to which peak bodies should be involved in familiarising industry of the new provisions? </w:t>
      </w:r>
    </w:p>
    <w:p w14:paraId="291BBB7B" w14:textId="77777777" w:rsidR="007C2AFF" w:rsidRDefault="007C2AFF" w:rsidP="00F73626">
      <w:pPr>
        <w:widowControl/>
        <w:shd w:val="clear" w:color="auto" w:fill="FFFFFF" w:themeFill="background1"/>
      </w:pPr>
    </w:p>
    <w:p w14:paraId="27F43414" w14:textId="77777777" w:rsidR="007C2AFF" w:rsidRDefault="007C2AFF" w:rsidP="00F73626">
      <w:pPr>
        <w:widowControl/>
        <w:shd w:val="clear" w:color="auto" w:fill="FFFFFF" w:themeFill="background1"/>
      </w:pPr>
      <w:r w:rsidRPr="0058235A">
        <w:t>Do you have any suggestions on how the implementation process could be approached</w:t>
      </w:r>
      <w:r>
        <w:t>, especially with respect to enhancing awareness and understanding of the potential new provisions under Option 3</w:t>
      </w:r>
      <w:r w:rsidRPr="0058235A">
        <w:t xml:space="preserve">? </w:t>
      </w:r>
    </w:p>
    <w:p w14:paraId="5E7EA74D" w14:textId="77777777" w:rsidR="007C2AFF" w:rsidRDefault="007C2AFF" w:rsidP="00F73626">
      <w:pPr>
        <w:widowControl/>
        <w:shd w:val="clear" w:color="auto" w:fill="FFFFFF" w:themeFill="background1"/>
      </w:pPr>
    </w:p>
    <w:p w14:paraId="446254DF" w14:textId="77777777" w:rsidR="007C2AFF" w:rsidRDefault="007C2AFF" w:rsidP="00F73626">
      <w:pPr>
        <w:shd w:val="clear" w:color="auto" w:fill="FFFFFF" w:themeFill="background1"/>
      </w:pPr>
      <w:r>
        <w:t xml:space="preserve">Are there any particular comments you feel are appropriate to ensuring satisfactory post-market surveillance? </w:t>
      </w:r>
    </w:p>
    <w:p w14:paraId="4D970D04" w14:textId="77777777" w:rsidR="007C2AFF" w:rsidRDefault="007C2AFF" w:rsidP="00F73626">
      <w:pPr>
        <w:shd w:val="clear" w:color="auto" w:fill="FFFFFF" w:themeFill="background1"/>
      </w:pPr>
    </w:p>
    <w:p w14:paraId="36DB22ED" w14:textId="77777777" w:rsidR="007C2AFF" w:rsidRPr="00F73626" w:rsidRDefault="007C2AFF" w:rsidP="00F73626">
      <w:pPr>
        <w:shd w:val="clear" w:color="auto" w:fill="FFFFFF" w:themeFill="background1"/>
        <w:rPr>
          <w:b/>
        </w:rPr>
      </w:pPr>
      <w:r w:rsidRPr="00F73626">
        <w:rPr>
          <w:b/>
        </w:rPr>
        <w:t>Refer Attachment C</w:t>
      </w:r>
    </w:p>
    <w:p w14:paraId="068AC784" w14:textId="3F434EA5" w:rsidR="00230BCC" w:rsidRDefault="00502A6E" w:rsidP="00F73626">
      <w:pPr>
        <w:widowControl/>
        <w:shd w:val="clear" w:color="auto" w:fill="FFFFFF" w:themeFill="background1"/>
        <w:rPr>
          <w:u w:color="FFFF00"/>
        </w:rPr>
      </w:pPr>
      <w:r>
        <w:rPr>
          <w:u w:color="FFFF00"/>
        </w:rPr>
        <w:t xml:space="preserve">The exclusions make reference to ‘reasonable potential’ and ‘reasonably expected’. FSANZ’s intent is to capture foods that are pharmacologically active or have biological activity beyond basic nutrition at the levels they are intended to be used. Can you make suggestions in relation to how such foods might be captured to ensure they are subject to pre-market assessment? </w:t>
      </w:r>
      <w:r w:rsidR="00230BCC">
        <w:rPr>
          <w:u w:color="FFFF00"/>
        </w:rPr>
        <w:br w:type="page"/>
      </w:r>
    </w:p>
    <w:p w14:paraId="473F42D5" w14:textId="77777777" w:rsidR="00502A6E" w:rsidRPr="00FB4430" w:rsidRDefault="00502A6E" w:rsidP="00F73626">
      <w:pPr>
        <w:shd w:val="clear" w:color="auto" w:fill="FFFFFF" w:themeFill="background1"/>
      </w:pPr>
      <w:r w:rsidRPr="009C1187">
        <w:lastRenderedPageBreak/>
        <w:t>Why is it important for novel foods permitted in the Code to be declared ‘not novel’ after a certain period of time?</w:t>
      </w:r>
      <w:r>
        <w:t xml:space="preserve"> Please explain the impacts on your business of novel food permissions remaining in the Code (as novel foods). </w:t>
      </w:r>
    </w:p>
    <w:p w14:paraId="60F3BC12" w14:textId="77777777" w:rsidR="00502A6E" w:rsidRDefault="00502A6E" w:rsidP="007C2AFF"/>
    <w:p w14:paraId="66D15371" w14:textId="349A0C37" w:rsidR="003342AE" w:rsidRPr="00F73626" w:rsidRDefault="00631FCC" w:rsidP="007C2AFF">
      <w:pPr>
        <w:rPr>
          <w:b/>
        </w:rPr>
      </w:pPr>
      <w:r w:rsidRPr="00F73626">
        <w:rPr>
          <w:b/>
        </w:rPr>
        <w:t xml:space="preserve">Refer SD1 </w:t>
      </w:r>
    </w:p>
    <w:p w14:paraId="3859CA02" w14:textId="77777777" w:rsidR="00FA338C" w:rsidRPr="006616A5" w:rsidRDefault="00FA338C" w:rsidP="00F73626">
      <w:pPr>
        <w:ind w:left="567" w:hanging="567"/>
        <w:rPr>
          <w:lang w:eastAsia="en-AU" w:bidi="ar-SA"/>
        </w:rPr>
      </w:pPr>
      <w:r w:rsidRPr="006616A5">
        <w:rPr>
          <w:lang w:eastAsia="en-AU" w:bidi="ar-SA"/>
        </w:rPr>
        <w:t xml:space="preserve">1. </w:t>
      </w:r>
      <w:r>
        <w:rPr>
          <w:lang w:eastAsia="en-AU" w:bidi="ar-SA"/>
        </w:rPr>
        <w:tab/>
      </w:r>
      <w:r w:rsidRPr="006616A5">
        <w:rPr>
          <w:lang w:eastAsia="en-AU" w:bidi="ar-SA"/>
        </w:rPr>
        <w:t>What costs have you experienced in making novel food or nutritive substance applications (for permission in the Code) or enquiries to the ACNF under the current system? If possible, include information on size and types of costs (e.g. commissioning research, staff time spent preparing an application). If possible, indicate the costs which relate only to the Australian/New Zealand market. If this is not possible please clearly indicate these are the global costs of obtaining these data and which other regulatory authority they have been prepared for.</w:t>
      </w:r>
    </w:p>
    <w:p w14:paraId="67A78438" w14:textId="77777777" w:rsidR="00FA338C" w:rsidRPr="006616A5" w:rsidRDefault="00FA338C" w:rsidP="00F73626">
      <w:pPr>
        <w:ind w:left="567" w:hanging="567"/>
        <w:rPr>
          <w:lang w:eastAsia="en-AU" w:bidi="ar-SA"/>
        </w:rPr>
      </w:pPr>
    </w:p>
    <w:p w14:paraId="20883BDA" w14:textId="77777777" w:rsidR="00FA338C" w:rsidRPr="006616A5" w:rsidRDefault="00FA338C" w:rsidP="00F73626">
      <w:pPr>
        <w:ind w:left="567" w:hanging="567"/>
        <w:rPr>
          <w:lang w:eastAsia="en-AU" w:bidi="ar-SA"/>
        </w:rPr>
      </w:pPr>
      <w:r w:rsidRPr="006616A5">
        <w:rPr>
          <w:lang w:eastAsia="en-AU" w:bidi="ar-SA"/>
        </w:rPr>
        <w:t xml:space="preserve">2. </w:t>
      </w:r>
      <w:r>
        <w:rPr>
          <w:lang w:eastAsia="en-AU" w:bidi="ar-SA"/>
        </w:rPr>
        <w:tab/>
      </w:r>
      <w:r w:rsidRPr="006616A5">
        <w:rPr>
          <w:lang w:eastAsia="en-AU" w:bidi="ar-SA"/>
        </w:rPr>
        <w:t>What other costs have you experienced as a result of the current novel food and nutritive substance provisions (i.e. costs not related to applications and enquiries)? For example, costs of obtaining legal advice on whether a substance is a novel food or a nutritive substance.</w:t>
      </w:r>
    </w:p>
    <w:p w14:paraId="256CD611" w14:textId="77777777" w:rsidR="00FA338C" w:rsidRPr="006616A5" w:rsidRDefault="00FA338C" w:rsidP="00F73626">
      <w:pPr>
        <w:ind w:left="567" w:hanging="567"/>
        <w:rPr>
          <w:lang w:eastAsia="en-AU" w:bidi="ar-SA"/>
        </w:rPr>
      </w:pPr>
    </w:p>
    <w:p w14:paraId="5B5D02AC" w14:textId="77777777" w:rsidR="00FA338C" w:rsidRDefault="00FA338C" w:rsidP="00F73626">
      <w:pPr>
        <w:ind w:left="567" w:hanging="567"/>
        <w:rPr>
          <w:lang w:eastAsia="en-AU" w:bidi="ar-SA"/>
        </w:rPr>
      </w:pPr>
      <w:r w:rsidRPr="006616A5">
        <w:rPr>
          <w:lang w:eastAsia="en-AU" w:bidi="ar-SA"/>
        </w:rPr>
        <w:t xml:space="preserve">3. </w:t>
      </w:r>
      <w:r>
        <w:rPr>
          <w:lang w:eastAsia="en-AU" w:bidi="ar-SA"/>
        </w:rPr>
        <w:tab/>
      </w:r>
      <w:r w:rsidRPr="006616A5">
        <w:rPr>
          <w:lang w:eastAsia="en-AU" w:bidi="ar-SA"/>
        </w:rPr>
        <w:t>How (if at all) do the current provisions influence your business’s decisions regarding developing and launching new products?</w:t>
      </w:r>
    </w:p>
    <w:p w14:paraId="1A3C58AD" w14:textId="77777777" w:rsidR="00FA338C" w:rsidRDefault="00FA338C" w:rsidP="00F73626">
      <w:pPr>
        <w:ind w:left="567" w:hanging="567"/>
        <w:rPr>
          <w:lang w:eastAsia="en-AU" w:bidi="ar-SA"/>
        </w:rPr>
      </w:pPr>
    </w:p>
    <w:p w14:paraId="1822B6AC" w14:textId="77777777" w:rsidR="00FA338C" w:rsidRDefault="00FA338C" w:rsidP="00F73626">
      <w:pPr>
        <w:ind w:left="567" w:hanging="567"/>
        <w:rPr>
          <w:lang w:eastAsia="en-AU" w:bidi="ar-SA"/>
        </w:rPr>
      </w:pPr>
      <w:r>
        <w:rPr>
          <w:lang w:eastAsia="en-AU" w:bidi="ar-SA"/>
        </w:rPr>
        <w:t xml:space="preserve">4. </w:t>
      </w:r>
      <w:r>
        <w:rPr>
          <w:lang w:eastAsia="en-AU" w:bidi="ar-SA"/>
        </w:rPr>
        <w:tab/>
        <w:t xml:space="preserve">What (if any) kinds of opportunity costs have you experienced due to the time taken to assess applications? </w:t>
      </w:r>
      <w:proofErr w:type="gramStart"/>
      <w:r>
        <w:rPr>
          <w:lang w:eastAsia="en-AU" w:bidi="ar-SA"/>
        </w:rPr>
        <w:t>For example, missing a ‘window’ during which a retailer will accept new products within a particular category.</w:t>
      </w:r>
      <w:proofErr w:type="gramEnd"/>
    </w:p>
    <w:p w14:paraId="06C6A573" w14:textId="77777777" w:rsidR="00FA338C" w:rsidRDefault="00FA338C" w:rsidP="00F73626">
      <w:pPr>
        <w:ind w:left="567" w:hanging="567"/>
        <w:rPr>
          <w:lang w:eastAsia="en-AU" w:bidi="ar-SA"/>
        </w:rPr>
      </w:pPr>
    </w:p>
    <w:p w14:paraId="0DC5F2C4" w14:textId="77777777" w:rsidR="00FA338C" w:rsidRDefault="00FA338C" w:rsidP="00F73626">
      <w:pPr>
        <w:ind w:left="567" w:hanging="567"/>
        <w:rPr>
          <w:lang w:eastAsia="en-AU" w:bidi="ar-SA"/>
        </w:rPr>
      </w:pPr>
      <w:r>
        <w:rPr>
          <w:lang w:eastAsia="en-AU" w:bidi="ar-SA"/>
        </w:rPr>
        <w:t xml:space="preserve">5. </w:t>
      </w:r>
      <w:r>
        <w:rPr>
          <w:lang w:eastAsia="en-AU" w:bidi="ar-SA"/>
        </w:rPr>
        <w:tab/>
        <w:t xml:space="preserve">(For food regulators) </w:t>
      </w:r>
      <w:proofErr w:type="gramStart"/>
      <w:r>
        <w:rPr>
          <w:lang w:eastAsia="en-AU" w:bidi="ar-SA"/>
        </w:rPr>
        <w:t>What</w:t>
      </w:r>
      <w:proofErr w:type="gramEnd"/>
      <w:r>
        <w:rPr>
          <w:lang w:eastAsia="en-AU" w:bidi="ar-SA"/>
        </w:rPr>
        <w:t xml:space="preserve"> types of enforcement costs does your organisation experience as a result of the current nutritive substance and novel food standards? E.g. dealing with enquiries about whether a food is novel or a nutritive substance, notifying food businesses that their food is a nutritive substance or novel food and requires pre-market assessment by FSANZ.</w:t>
      </w:r>
    </w:p>
    <w:p w14:paraId="7DFEEF57" w14:textId="77777777" w:rsidR="00FA338C" w:rsidRDefault="00FA338C" w:rsidP="00F73626">
      <w:pPr>
        <w:ind w:left="567" w:hanging="567"/>
        <w:rPr>
          <w:lang w:eastAsia="en-AU" w:bidi="ar-SA"/>
        </w:rPr>
      </w:pPr>
    </w:p>
    <w:p w14:paraId="3830C7E7" w14:textId="77777777" w:rsidR="00FA338C" w:rsidRPr="006616A5" w:rsidRDefault="00FA338C" w:rsidP="00F73626">
      <w:pPr>
        <w:ind w:left="567" w:hanging="567"/>
        <w:rPr>
          <w:lang w:eastAsia="en-AU" w:bidi="ar-SA"/>
        </w:rPr>
      </w:pPr>
      <w:r>
        <w:rPr>
          <w:lang w:eastAsia="en-AU" w:bidi="ar-SA"/>
        </w:rPr>
        <w:t xml:space="preserve">6. </w:t>
      </w:r>
      <w:r>
        <w:rPr>
          <w:lang w:eastAsia="en-AU" w:bidi="ar-SA"/>
        </w:rPr>
        <w:tab/>
        <w:t>(For food regulators) How would (if at all would) the types of enforcement costs change if Options 2 or 3 were introduced?</w:t>
      </w:r>
    </w:p>
    <w:p w14:paraId="53D2F170" w14:textId="77777777" w:rsidR="00F73626" w:rsidRDefault="00F73626">
      <w:pPr>
        <w:widowControl/>
        <w:rPr>
          <w:rFonts w:cs="Arial"/>
          <w:b/>
          <w:bCs/>
          <w:sz w:val="28"/>
          <w:szCs w:val="22"/>
          <w:u w:color="FFFF00"/>
          <w:lang w:bidi="ar-SA"/>
        </w:rPr>
      </w:pPr>
      <w:r>
        <w:rPr>
          <w:u w:color="FFFF00"/>
        </w:rPr>
        <w:br w:type="page"/>
      </w:r>
    </w:p>
    <w:p w14:paraId="7FF57225" w14:textId="7974716A" w:rsidR="00CA6A49" w:rsidRPr="00C7427E" w:rsidRDefault="00F15274" w:rsidP="00C7427E">
      <w:pPr>
        <w:pStyle w:val="Heading2"/>
      </w:pPr>
      <w:bookmarkStart w:id="105" w:name="_Toc436754866"/>
      <w:r>
        <w:rPr>
          <w:u w:color="FFFF00"/>
        </w:rPr>
        <w:lastRenderedPageBreak/>
        <w:t>Attachment B</w:t>
      </w:r>
      <w:r w:rsidR="00CA6A49">
        <w:rPr>
          <w:u w:color="FFFF00"/>
        </w:rPr>
        <w:t xml:space="preserve"> </w:t>
      </w:r>
      <w:r w:rsidR="00230BCC">
        <w:rPr>
          <w:u w:color="FFFF00"/>
        </w:rPr>
        <w:t>–</w:t>
      </w:r>
      <w:r w:rsidR="00CA6A49">
        <w:rPr>
          <w:u w:color="FFFF00"/>
        </w:rPr>
        <w:t xml:space="preserve"> </w:t>
      </w:r>
      <w:r w:rsidR="00CA6A49">
        <w:t>Case stu</w:t>
      </w:r>
      <w:r w:rsidR="00C7427E">
        <w:t xml:space="preserve">dy: Removing novel food from </w:t>
      </w:r>
      <w:r w:rsidR="0090733F">
        <w:t xml:space="preserve">the </w:t>
      </w:r>
      <w:r w:rsidR="00C7427E">
        <w:t>market</w:t>
      </w:r>
      <w:bookmarkEnd w:id="105"/>
    </w:p>
    <w:p w14:paraId="062904DC" w14:textId="7FBAEF77" w:rsidR="00CA6A49" w:rsidRDefault="00CA6A49" w:rsidP="00CA6A49">
      <w:r>
        <w:t>In June 2012, regulators became aware of a number of sports supplement products containing DMAA as an ingredient that were being supplied in Australia and New Zealand. DMAA is a stimulant that was originally developed in the 1940s as a nasal decongestant. However, its use in food and dietary supplement type products has occurred more recently in sports food and supplement products. FSANZ and food enforcement agencies noted the stimulant effect of DMAA and reports of adverse effects associated with the consumption of products containing the ingredient including deaths and serious illnesses overseas. Food enforcement agencies agreed that these products should be removed from the market. However, as noted above in se</w:t>
      </w:r>
      <w:r w:rsidR="00351B9A">
        <w:t>ction 3</w:t>
      </w:r>
      <w:r>
        <w:t>.1 there were limited options available to force products off the market without sufficient evidence to prove that consumption of DMAA containing products would categorically cause harm or adverse effects.</w:t>
      </w:r>
    </w:p>
    <w:p w14:paraId="6EAC125C" w14:textId="77777777" w:rsidR="00CA6A49" w:rsidRDefault="00CA6A49" w:rsidP="00CA6A49"/>
    <w:p w14:paraId="5A49343A" w14:textId="77777777" w:rsidR="00CA6A49" w:rsidRDefault="00CA6A49" w:rsidP="00CA6A49">
      <w:r>
        <w:t xml:space="preserve">There was evidence to suggest that consumption of DMAA at higher levels could cause significant adverse effects. However, at the time, there was a lack of clear scientific evidence to show a direct causal link between the consumption of DMAA at the levels added to sports food and supplement products and adverse health effects. </w:t>
      </w:r>
    </w:p>
    <w:p w14:paraId="456588FC" w14:textId="77777777" w:rsidR="00CA6A49" w:rsidRDefault="00CA6A49" w:rsidP="00CA6A49"/>
    <w:p w14:paraId="6345054F" w14:textId="032FDFFB" w:rsidR="00CA6A49" w:rsidRDefault="00CA6A49" w:rsidP="00CA6A49">
      <w:r>
        <w:t xml:space="preserve">Food enforcement agencies noted that DMAA would likely be considered a novel food in accordance with the definition in Standard 1.5.1. However, noting the difficulties in enforcing the novel food provisions, regulators were reluctant to rely on this to take action. Food enforcement agencies also noted the potential difficulty in relying on ‘unsafe’ provisions in the Food Acts. In the first instance, food enforcement agencies notified suppliers that the use of DMAA may be ‘unsuitable’ and requested removal of products from the market. </w:t>
      </w:r>
    </w:p>
    <w:p w14:paraId="69E998C4" w14:textId="77777777" w:rsidR="00CA6A49" w:rsidRDefault="00CA6A49" w:rsidP="00CA6A49"/>
    <w:p w14:paraId="419674B7" w14:textId="77777777" w:rsidR="00CA6A49" w:rsidRDefault="00CA6A49" w:rsidP="00CA6A49">
      <w:r>
        <w:t>In addition, during this time, the Therapeutic Goods Administration (TGA) was taking action to include DMAA in Appendix C of the Standard for the Uniform Scheduling of Medicines and Poisons (SUSMP). The SUSMP, legally referred to as the Poisons Standard, is given legal effect through state and territory legislation, similar to the way the Code is given legal effect. Entry in Appendix C of the SUSMP prohibits a substance from being sold, possessed or supplied in Australia. DMAA was included in Appendix C, with the prohibition taking effect on 8 August 2012. This was almost two months after the DMAA incident was first identified by regulators</w:t>
      </w:r>
      <w:r w:rsidRPr="007D463E">
        <w:t>. In March 2012, DMAA was classified in New Zealand as a temporary class drug, which made it illegal to import, export, manufacture, supply or sell the substance, or products containing the substance</w:t>
      </w:r>
      <w:r w:rsidRPr="007D463E">
        <w:rPr>
          <w:rStyle w:val="FootnoteReference"/>
        </w:rPr>
        <w:footnoteReference w:id="16"/>
      </w:r>
      <w:r w:rsidRPr="007D463E">
        <w:t>. This temporary</w:t>
      </w:r>
      <w:r>
        <w:t xml:space="preserve"> order resulted in a more rapid removal of products from the New Zealand market than in Australia.</w:t>
      </w:r>
    </w:p>
    <w:p w14:paraId="44085E55" w14:textId="77777777" w:rsidR="00CA6A49" w:rsidRDefault="00CA6A49" w:rsidP="00CA6A49"/>
    <w:p w14:paraId="1017B228" w14:textId="77777777" w:rsidR="00CA6A49" w:rsidRDefault="00CA6A49" w:rsidP="00CA6A49">
      <w:pPr>
        <w:rPr>
          <w:lang w:bidi="ar-SA"/>
        </w:rPr>
      </w:pPr>
      <w:r>
        <w:t xml:space="preserve">The DMAA example highlights the difficulties that food enforcement agencies can experience when attempting to remove products from the market that are considered to present potential harm to consumers. The Food Act provisions in relation to the supply of ‘unsafe’ foods are broad to ensure they can apply to a range of situations. However, the novel food provisions in the Code are intended to provide more specific requirements in relation to the safe supply of certain types of foods. Ingredients like DMAA, that would appear to clearly meet the intent of the novel food provisions, are currently caught up in the issues relating to uncertainty that have been highlighted above. Therefore, rather than being able to rely on the novel food provisions to assist in taking appropriate action, other means may need to be used by food enforcement agencies. These other means may not provide timely or suitable mechanisms to remove products from the market if this is considered necessary.  </w:t>
      </w:r>
    </w:p>
    <w:p w14:paraId="781A62BF" w14:textId="77777777" w:rsidR="00CA6A49" w:rsidRDefault="00CA6A49">
      <w:pPr>
        <w:widowControl/>
        <w:rPr>
          <w:lang w:bidi="ar-SA"/>
        </w:rPr>
      </w:pPr>
      <w:r>
        <w:rPr>
          <w:lang w:bidi="ar-SA"/>
        </w:rPr>
        <w:br w:type="page"/>
      </w:r>
    </w:p>
    <w:p w14:paraId="274B3EC3" w14:textId="161E09ED" w:rsidR="00F15274" w:rsidRPr="00CA6A49" w:rsidRDefault="00CA6A49" w:rsidP="00CA6A49">
      <w:pPr>
        <w:pStyle w:val="Heading2"/>
      </w:pPr>
      <w:bookmarkStart w:id="106" w:name="_Toc436754867"/>
      <w:r>
        <w:lastRenderedPageBreak/>
        <w:t xml:space="preserve">Attachment C </w:t>
      </w:r>
      <w:r w:rsidR="00230BCC">
        <w:t>–</w:t>
      </w:r>
      <w:r>
        <w:t xml:space="preserve"> </w:t>
      </w:r>
      <w:r w:rsidR="00F15274">
        <w:rPr>
          <w:u w:color="FFFF00"/>
        </w:rPr>
        <w:t>Draft framework for alternative approach – Option 3</w:t>
      </w:r>
      <w:bookmarkEnd w:id="106"/>
    </w:p>
    <w:p w14:paraId="0CB37E9B" w14:textId="4D925EDC" w:rsidR="00841D14" w:rsidRDefault="00841D14">
      <w:pPr>
        <w:widowControl/>
        <w:rPr>
          <w:u w:color="FFFF00"/>
        </w:rPr>
      </w:pPr>
      <w:r>
        <w:rPr>
          <w:u w:color="FFFF00"/>
        </w:rPr>
        <w:t>This attachment includes additional detail on the draft framework prepare</w:t>
      </w:r>
      <w:r w:rsidR="00DA155A">
        <w:rPr>
          <w:u w:color="FFFF00"/>
        </w:rPr>
        <w:t xml:space="preserve">d by FSANZ to support option 3 (section </w:t>
      </w:r>
      <w:r w:rsidR="00230BCC">
        <w:rPr>
          <w:u w:color="FFFF00"/>
        </w:rPr>
        <w:t>4</w:t>
      </w:r>
      <w:r w:rsidR="00DA155A">
        <w:rPr>
          <w:u w:color="FFFF00"/>
        </w:rPr>
        <w:t>.2.3).</w:t>
      </w:r>
    </w:p>
    <w:p w14:paraId="5D0CC9E3" w14:textId="77777777" w:rsidR="00F15274" w:rsidRDefault="00F15274" w:rsidP="000D0DA9">
      <w:pPr>
        <w:pStyle w:val="Heading3"/>
        <w:rPr>
          <w:u w:color="FFFF00"/>
        </w:rPr>
      </w:pPr>
      <w:bookmarkStart w:id="107" w:name="_Toc434396107"/>
      <w:bookmarkStart w:id="108" w:name="_Toc436754868"/>
      <w:r>
        <w:rPr>
          <w:u w:color="FFFF00"/>
        </w:rPr>
        <w:t>E</w:t>
      </w:r>
      <w:r w:rsidR="00841D14">
        <w:rPr>
          <w:u w:color="FFFF00"/>
        </w:rPr>
        <w:t xml:space="preserve">ligible </w:t>
      </w:r>
      <w:r>
        <w:rPr>
          <w:u w:color="FFFF00"/>
        </w:rPr>
        <w:t>F</w:t>
      </w:r>
      <w:r w:rsidR="00841D14">
        <w:rPr>
          <w:u w:color="FFFF00"/>
        </w:rPr>
        <w:t xml:space="preserve">ood </w:t>
      </w:r>
      <w:r>
        <w:rPr>
          <w:u w:color="FFFF00"/>
        </w:rPr>
        <w:t>C</w:t>
      </w:r>
      <w:r w:rsidR="00841D14">
        <w:rPr>
          <w:u w:color="FFFF00"/>
        </w:rPr>
        <w:t>riteria</w:t>
      </w:r>
      <w:bookmarkEnd w:id="107"/>
      <w:bookmarkEnd w:id="108"/>
    </w:p>
    <w:p w14:paraId="4EA9F18A" w14:textId="77777777" w:rsidR="00963C78" w:rsidRPr="00963C78" w:rsidRDefault="00DA155A" w:rsidP="00963C78">
      <w:r>
        <w:t xml:space="preserve">Under the draft alternative framework, FSANZ considers foods that meet eligible food criteria (EFC) could be sold, provided the supplier of the food meets record keeping requirements that would be established in the Code. </w:t>
      </w:r>
      <w:r w:rsidR="00F15274">
        <w:t xml:space="preserve">At this stage FSANZ has not developed the record keeping requirements in detail. However FSANZ does not expect these requirements to be overly onerous on food businesses that should already be ensuring the foods they supply are safe. The nature of the food business that is required to hold the records may vary. For example, food retailers and caterers may not be required to hold records that describe the full information package that supports safety, but would need to be able to reference </w:t>
      </w:r>
      <w:proofErr w:type="gramStart"/>
      <w:r w:rsidR="00F15274">
        <w:t>who</w:t>
      </w:r>
      <w:proofErr w:type="gramEnd"/>
      <w:r w:rsidR="00F15274">
        <w:t xml:space="preserve"> holds the information on the eligible food (the manufacturer / supplier of the eligible food). In this case, food control plans of food retailers / caterers would need to verify the information is held by the manufacturer / supplier of the eligible food.</w:t>
      </w:r>
      <w:r w:rsidR="004072BF">
        <w:t xml:space="preserve"> </w:t>
      </w:r>
      <w:r w:rsidR="00963C78">
        <w:t xml:space="preserve">The </w:t>
      </w:r>
      <w:proofErr w:type="gramStart"/>
      <w:r w:rsidR="00963C78">
        <w:t>draft EFC are</w:t>
      </w:r>
      <w:proofErr w:type="gramEnd"/>
      <w:r w:rsidR="00963C78">
        <w:t xml:space="preserve"> listed below:</w:t>
      </w:r>
    </w:p>
    <w:p w14:paraId="68A4206F" w14:textId="77777777" w:rsidR="00F15274" w:rsidRDefault="00F15274" w:rsidP="00F15274">
      <w:pPr>
        <w:pStyle w:val="FSTableHeading"/>
        <w:jc w:val="left"/>
      </w:pPr>
    </w:p>
    <w:tbl>
      <w:tblPr>
        <w:tblW w:w="9072" w:type="dxa"/>
        <w:tblBorders>
          <w:top w:val="single" w:sz="4" w:space="0" w:color="auto"/>
          <w:bottom w:val="single" w:sz="4" w:space="0" w:color="auto"/>
        </w:tblBorders>
        <w:tblLook w:val="04A0" w:firstRow="1" w:lastRow="0" w:firstColumn="1" w:lastColumn="0" w:noHBand="0" w:noVBand="1"/>
      </w:tblPr>
      <w:tblGrid>
        <w:gridCol w:w="9072"/>
      </w:tblGrid>
      <w:tr w:rsidR="00F15274" w:rsidRPr="00E6140E" w14:paraId="7F9B1B7C" w14:textId="77777777" w:rsidTr="00230BCC">
        <w:tc>
          <w:tcPr>
            <w:tcW w:w="9134" w:type="dxa"/>
            <w:tcBorders>
              <w:top w:val="single" w:sz="4" w:space="0" w:color="auto"/>
              <w:left w:val="single" w:sz="4" w:space="0" w:color="auto"/>
              <w:right w:val="single" w:sz="4" w:space="0" w:color="auto"/>
            </w:tcBorders>
            <w:shd w:val="clear" w:color="auto" w:fill="C6D9F1" w:themeFill="text2" w:themeFillTint="33"/>
          </w:tcPr>
          <w:p w14:paraId="7B7D3257" w14:textId="77777777" w:rsidR="00F15274" w:rsidRDefault="00F15274" w:rsidP="00782309">
            <w:pPr>
              <w:rPr>
                <w:b/>
              </w:rPr>
            </w:pPr>
            <w:r w:rsidRPr="00E6140E">
              <w:rPr>
                <w:b/>
              </w:rPr>
              <w:t>Eligible food criteria</w:t>
            </w:r>
          </w:p>
          <w:p w14:paraId="0D0122A7" w14:textId="77777777" w:rsidR="00F15274" w:rsidRPr="00AE2414" w:rsidRDefault="00F15274" w:rsidP="00782309">
            <w:pPr>
              <w:rPr>
                <w:sz w:val="20"/>
              </w:rPr>
            </w:pPr>
          </w:p>
        </w:tc>
      </w:tr>
      <w:tr w:rsidR="00F15274" w:rsidRPr="00E6140E" w14:paraId="15A73C46" w14:textId="77777777" w:rsidTr="00230BCC">
        <w:tc>
          <w:tcPr>
            <w:tcW w:w="9134" w:type="dxa"/>
            <w:tcBorders>
              <w:left w:val="single" w:sz="4" w:space="0" w:color="auto"/>
              <w:right w:val="single" w:sz="4" w:space="0" w:color="auto"/>
            </w:tcBorders>
            <w:shd w:val="clear" w:color="auto" w:fill="C6D9F1" w:themeFill="text2" w:themeFillTint="33"/>
          </w:tcPr>
          <w:p w14:paraId="7C7A5470" w14:textId="77777777" w:rsidR="00F15274" w:rsidRPr="00AE2414" w:rsidRDefault="00F15274" w:rsidP="00782309">
            <w:pPr>
              <w:numPr>
                <w:ilvl w:val="0"/>
                <w:numId w:val="7"/>
              </w:numPr>
              <w:ind w:left="360"/>
              <w:contextualSpacing/>
              <w:rPr>
                <w:szCs w:val="22"/>
                <w:lang w:val="en-AU"/>
              </w:rPr>
            </w:pPr>
            <w:r w:rsidRPr="00841C61">
              <w:rPr>
                <w:szCs w:val="22"/>
              </w:rPr>
              <w:t>Microorganisms are eligible if they are listed in the Standard (in the Code) and are cultured to maintain genetic stability.</w:t>
            </w:r>
          </w:p>
          <w:p w14:paraId="7C063835" w14:textId="77777777" w:rsidR="00F15274" w:rsidRPr="00AE2414" w:rsidRDefault="00F15274" w:rsidP="00782309">
            <w:pPr>
              <w:contextualSpacing/>
              <w:rPr>
                <w:szCs w:val="22"/>
                <w:lang w:val="en-AU"/>
              </w:rPr>
            </w:pPr>
          </w:p>
        </w:tc>
      </w:tr>
      <w:tr w:rsidR="00F15274" w:rsidRPr="00E6140E" w14:paraId="25135917" w14:textId="77777777" w:rsidTr="00230BCC">
        <w:tc>
          <w:tcPr>
            <w:tcW w:w="9134" w:type="dxa"/>
            <w:tcBorders>
              <w:left w:val="single" w:sz="4" w:space="0" w:color="auto"/>
              <w:right w:val="single" w:sz="4" w:space="0" w:color="auto"/>
            </w:tcBorders>
            <w:shd w:val="clear" w:color="auto" w:fill="C6D9F1" w:themeFill="text2" w:themeFillTint="33"/>
          </w:tcPr>
          <w:p w14:paraId="4BBFF603" w14:textId="77777777" w:rsidR="00F15274" w:rsidRPr="00841C61" w:rsidRDefault="00F15274" w:rsidP="00782309">
            <w:pPr>
              <w:numPr>
                <w:ilvl w:val="0"/>
                <w:numId w:val="7"/>
              </w:numPr>
              <w:ind w:left="360"/>
              <w:contextualSpacing/>
              <w:rPr>
                <w:szCs w:val="22"/>
              </w:rPr>
            </w:pPr>
            <w:r w:rsidRPr="00841C61">
              <w:rPr>
                <w:szCs w:val="22"/>
              </w:rPr>
              <w:t xml:space="preserve">Animal food commodities and </w:t>
            </w:r>
            <w:r>
              <w:rPr>
                <w:szCs w:val="22"/>
              </w:rPr>
              <w:t>plant</w:t>
            </w:r>
            <w:r w:rsidRPr="00841C61">
              <w:rPr>
                <w:szCs w:val="22"/>
              </w:rPr>
              <w:t xml:space="preserve"> commodities </w:t>
            </w:r>
            <w:r>
              <w:t>are eligible if they are included</w:t>
            </w:r>
            <w:r w:rsidRPr="00E6140E">
              <w:t xml:space="preserve"> in the list of food </w:t>
            </w:r>
            <w:r>
              <w:t>classes</w:t>
            </w:r>
            <w:r w:rsidR="00963C78">
              <w:rPr>
                <w:rStyle w:val="FootnoteReference"/>
              </w:rPr>
              <w:footnoteReference w:id="17"/>
            </w:r>
            <w:r>
              <w:t xml:space="preserve">. Animal food commodities and plant commodities included in the list of food classes are also eligible if they are </w:t>
            </w:r>
            <w:r w:rsidRPr="00E6140E">
              <w:rPr>
                <w:b/>
              </w:rPr>
              <w:t xml:space="preserve">physically fractionated, fermented </w:t>
            </w:r>
            <w:r w:rsidRPr="00E6140E">
              <w:t xml:space="preserve">(using microorganisms that meet criterion 1), </w:t>
            </w:r>
            <w:r w:rsidRPr="00E6140E">
              <w:rPr>
                <w:b/>
              </w:rPr>
              <w:t>and/or physically processed</w:t>
            </w:r>
            <w:r w:rsidRPr="00E6140E">
              <w:t xml:space="preserve"> (including chopping, cutting, peeling, grinding, squeezing</w:t>
            </w:r>
            <w:r>
              <w:t>, pressing, steeping, infusion</w:t>
            </w:r>
            <w:r w:rsidRPr="00E6140E">
              <w:t>, filtering and dehydration)</w:t>
            </w:r>
            <w:r w:rsidRPr="00841C61">
              <w:rPr>
                <w:szCs w:val="22"/>
                <w:lang w:val="en-AU"/>
              </w:rPr>
              <w:t>.</w:t>
            </w:r>
          </w:p>
          <w:p w14:paraId="1E4DADDA" w14:textId="77777777" w:rsidR="00F15274" w:rsidRPr="00E6140E" w:rsidRDefault="00F15274" w:rsidP="00782309">
            <w:pPr>
              <w:rPr>
                <w:b/>
              </w:rPr>
            </w:pPr>
          </w:p>
        </w:tc>
      </w:tr>
      <w:tr w:rsidR="00F15274" w:rsidRPr="00E6140E" w14:paraId="44C36C78" w14:textId="77777777" w:rsidTr="00230BCC">
        <w:tc>
          <w:tcPr>
            <w:tcW w:w="9134" w:type="dxa"/>
            <w:tcBorders>
              <w:left w:val="single" w:sz="4" w:space="0" w:color="auto"/>
              <w:right w:val="single" w:sz="4" w:space="0" w:color="auto"/>
            </w:tcBorders>
            <w:shd w:val="clear" w:color="auto" w:fill="C6D9F1" w:themeFill="text2" w:themeFillTint="33"/>
          </w:tcPr>
          <w:p w14:paraId="724D9979" w14:textId="77777777" w:rsidR="00F15274" w:rsidRPr="00841C61" w:rsidRDefault="00F15274" w:rsidP="00782309">
            <w:pPr>
              <w:numPr>
                <w:ilvl w:val="0"/>
                <w:numId w:val="7"/>
              </w:numPr>
              <w:ind w:left="360"/>
              <w:contextualSpacing/>
              <w:rPr>
                <w:szCs w:val="22"/>
              </w:rPr>
            </w:pPr>
            <w:r w:rsidRPr="00841C61">
              <w:rPr>
                <w:szCs w:val="22"/>
              </w:rPr>
              <w:t xml:space="preserve">Extracts are eligible if they are prepared from foods described in </w:t>
            </w:r>
            <w:r>
              <w:rPr>
                <w:szCs w:val="22"/>
              </w:rPr>
              <w:t>c</w:t>
            </w:r>
            <w:r w:rsidRPr="00841C61">
              <w:rPr>
                <w:szCs w:val="22"/>
              </w:rPr>
              <w:t xml:space="preserve">riteria 2 when added to processed foods where the total concentration of the naturally occurring and added components in the </w:t>
            </w:r>
            <w:r>
              <w:rPr>
                <w:szCs w:val="22"/>
              </w:rPr>
              <w:t>target food</w:t>
            </w:r>
            <w:r w:rsidRPr="00841C61">
              <w:rPr>
                <w:szCs w:val="22"/>
              </w:rPr>
              <w:t xml:space="preserve"> is no higher than that present as if the source </w:t>
            </w:r>
            <w:r>
              <w:rPr>
                <w:szCs w:val="22"/>
              </w:rPr>
              <w:t>food</w:t>
            </w:r>
            <w:r w:rsidRPr="00841C61">
              <w:rPr>
                <w:szCs w:val="22"/>
              </w:rPr>
              <w:t xml:space="preserve"> were used as an ingredient.</w:t>
            </w:r>
          </w:p>
          <w:p w14:paraId="2605BA29" w14:textId="77777777" w:rsidR="00F15274" w:rsidRPr="00E6140E" w:rsidRDefault="00F15274" w:rsidP="00782309">
            <w:pPr>
              <w:rPr>
                <w:b/>
              </w:rPr>
            </w:pPr>
          </w:p>
        </w:tc>
      </w:tr>
      <w:tr w:rsidR="00F15274" w:rsidRPr="00E6140E" w14:paraId="55BE4D22" w14:textId="77777777" w:rsidTr="00230BCC">
        <w:tc>
          <w:tcPr>
            <w:tcW w:w="9134" w:type="dxa"/>
            <w:tcBorders>
              <w:left w:val="single" w:sz="4" w:space="0" w:color="auto"/>
              <w:right w:val="single" w:sz="4" w:space="0" w:color="auto"/>
            </w:tcBorders>
            <w:shd w:val="clear" w:color="auto" w:fill="C6D9F1" w:themeFill="text2" w:themeFillTint="33"/>
          </w:tcPr>
          <w:p w14:paraId="18250C91" w14:textId="77777777" w:rsidR="00963C78" w:rsidRPr="00C7427E" w:rsidRDefault="00F15274" w:rsidP="00782309">
            <w:pPr>
              <w:numPr>
                <w:ilvl w:val="0"/>
                <w:numId w:val="7"/>
              </w:numPr>
              <w:ind w:left="360"/>
              <w:contextualSpacing/>
              <w:rPr>
                <w:szCs w:val="22"/>
              </w:rPr>
            </w:pPr>
            <w:r>
              <w:rPr>
                <w:szCs w:val="22"/>
              </w:rPr>
              <w:t xml:space="preserve">Subject to criterion 2, </w:t>
            </w:r>
            <w:r w:rsidRPr="00841C61">
              <w:rPr>
                <w:szCs w:val="22"/>
              </w:rPr>
              <w:t>substances are eligible if they are obtained from animal commodities when added to processed animal commodities from the same food class, or if they are obtained from plant commodities when added to processed plant commodities from the same food class provided that the concentration of the total of the naturally occurring and added substance is within the natural range in that food class.</w:t>
            </w:r>
          </w:p>
          <w:p w14:paraId="605FC967" w14:textId="77777777" w:rsidR="00963C78" w:rsidRPr="00E6140E" w:rsidRDefault="00963C78" w:rsidP="00782309">
            <w:pPr>
              <w:rPr>
                <w:b/>
              </w:rPr>
            </w:pPr>
          </w:p>
        </w:tc>
      </w:tr>
      <w:tr w:rsidR="00F15274" w:rsidRPr="00E6140E" w14:paraId="3698C0B9" w14:textId="77777777" w:rsidTr="00230BCC">
        <w:tc>
          <w:tcPr>
            <w:tcW w:w="9134" w:type="dxa"/>
            <w:tcBorders>
              <w:top w:val="single" w:sz="4" w:space="0" w:color="auto"/>
              <w:left w:val="single" w:sz="4" w:space="0" w:color="auto"/>
              <w:bottom w:val="nil"/>
              <w:right w:val="single" w:sz="4" w:space="0" w:color="auto"/>
            </w:tcBorders>
            <w:shd w:val="clear" w:color="auto" w:fill="FDE9D9" w:themeFill="accent6" w:themeFillTint="33"/>
          </w:tcPr>
          <w:p w14:paraId="00A1ED98" w14:textId="77777777" w:rsidR="00F15274" w:rsidRDefault="00F15274" w:rsidP="00782309">
            <w:pPr>
              <w:contextualSpacing/>
              <w:rPr>
                <w:b/>
              </w:rPr>
            </w:pPr>
            <w:r w:rsidRPr="00A277CF">
              <w:rPr>
                <w:b/>
              </w:rPr>
              <w:t>Exclusions to the eligible food criteria</w:t>
            </w:r>
          </w:p>
          <w:p w14:paraId="5F248455" w14:textId="77777777" w:rsidR="00F15274" w:rsidRDefault="00F15274" w:rsidP="00782309">
            <w:pPr>
              <w:contextualSpacing/>
              <w:rPr>
                <w:szCs w:val="22"/>
              </w:rPr>
            </w:pPr>
          </w:p>
          <w:p w14:paraId="16F59FDA" w14:textId="77777777" w:rsidR="00F15274" w:rsidRDefault="00F15274" w:rsidP="00782309">
            <w:pPr>
              <w:contextualSpacing/>
              <w:rPr>
                <w:szCs w:val="22"/>
              </w:rPr>
            </w:pPr>
            <w:r>
              <w:rPr>
                <w:szCs w:val="22"/>
              </w:rPr>
              <w:t>Despite meeting the EFC, the following foods require pre-market assessment:</w:t>
            </w:r>
          </w:p>
          <w:p w14:paraId="68022D82" w14:textId="77777777" w:rsidR="00F15274" w:rsidRPr="00841C61" w:rsidRDefault="00F15274" w:rsidP="00782309">
            <w:pPr>
              <w:contextualSpacing/>
              <w:rPr>
                <w:szCs w:val="22"/>
              </w:rPr>
            </w:pPr>
          </w:p>
        </w:tc>
      </w:tr>
      <w:tr w:rsidR="00F15274" w:rsidRPr="00E6140E" w14:paraId="2862EC6C" w14:textId="77777777" w:rsidTr="00230BCC">
        <w:tc>
          <w:tcPr>
            <w:tcW w:w="9134" w:type="dxa"/>
            <w:tcBorders>
              <w:top w:val="nil"/>
              <w:left w:val="single" w:sz="4" w:space="0" w:color="auto"/>
              <w:right w:val="single" w:sz="4" w:space="0" w:color="auto"/>
            </w:tcBorders>
            <w:shd w:val="clear" w:color="auto" w:fill="FDE9D9" w:themeFill="accent6" w:themeFillTint="33"/>
          </w:tcPr>
          <w:p w14:paraId="1D2653A6" w14:textId="77777777" w:rsidR="00F15274" w:rsidRPr="00C7427E" w:rsidRDefault="00F15274" w:rsidP="00782309">
            <w:pPr>
              <w:numPr>
                <w:ilvl w:val="0"/>
                <w:numId w:val="13"/>
              </w:numPr>
              <w:ind w:left="459" w:hanging="425"/>
              <w:contextualSpacing/>
              <w:rPr>
                <w:szCs w:val="22"/>
              </w:rPr>
            </w:pPr>
            <w:r w:rsidRPr="00E6140E">
              <w:t xml:space="preserve">Processed or unprocessed </w:t>
            </w:r>
            <w:r>
              <w:t>animal or plant commodities,</w:t>
            </w:r>
            <w:r w:rsidRPr="00E6140E">
              <w:t xml:space="preserve"> including </w:t>
            </w:r>
            <w:r>
              <w:t xml:space="preserve">their </w:t>
            </w:r>
            <w:r w:rsidRPr="00E6140E">
              <w:t>extracts or substances</w:t>
            </w:r>
            <w:r>
              <w:t>,</w:t>
            </w:r>
            <w:r w:rsidRPr="00E6140E">
              <w:t xml:space="preserve"> which </w:t>
            </w:r>
            <w:r>
              <w:t>have,</w:t>
            </w:r>
            <w:r w:rsidRPr="00E6140E">
              <w:t xml:space="preserve"> </w:t>
            </w:r>
            <w:r>
              <w:t>or have reasonable potential to have,</w:t>
            </w:r>
            <w:r w:rsidRPr="00E6140E">
              <w:t xml:space="preserve"> </w:t>
            </w:r>
            <w:r>
              <w:t xml:space="preserve">pharmacological effects </w:t>
            </w:r>
            <w:r w:rsidRPr="00E6140E">
              <w:t>at the intended levels of consumption.</w:t>
            </w:r>
          </w:p>
          <w:p w14:paraId="6263C3FF" w14:textId="77777777" w:rsidR="00F15274" w:rsidRPr="00841C61" w:rsidRDefault="00F15274" w:rsidP="00782309">
            <w:pPr>
              <w:contextualSpacing/>
              <w:rPr>
                <w:szCs w:val="22"/>
              </w:rPr>
            </w:pPr>
          </w:p>
        </w:tc>
      </w:tr>
      <w:tr w:rsidR="00F15274" w:rsidRPr="00E6140E" w14:paraId="35EFC586" w14:textId="77777777" w:rsidTr="00230BCC">
        <w:tc>
          <w:tcPr>
            <w:tcW w:w="9134" w:type="dxa"/>
            <w:tcBorders>
              <w:left w:val="single" w:sz="4" w:space="0" w:color="auto"/>
              <w:bottom w:val="single" w:sz="4" w:space="0" w:color="auto"/>
              <w:right w:val="single" w:sz="4" w:space="0" w:color="auto"/>
            </w:tcBorders>
            <w:shd w:val="clear" w:color="auto" w:fill="FDE9D9" w:themeFill="accent6" w:themeFillTint="33"/>
          </w:tcPr>
          <w:p w14:paraId="7614BC74" w14:textId="77777777" w:rsidR="00F15274" w:rsidRDefault="00F15274" w:rsidP="00230BCC">
            <w:pPr>
              <w:pageBreakBefore/>
              <w:numPr>
                <w:ilvl w:val="0"/>
                <w:numId w:val="13"/>
              </w:numPr>
              <w:ind w:left="459" w:hanging="425"/>
              <w:contextualSpacing/>
            </w:pPr>
            <w:r w:rsidRPr="00E6140E">
              <w:lastRenderedPageBreak/>
              <w:t xml:space="preserve">Processed or unprocessed animal or </w:t>
            </w:r>
            <w:r>
              <w:t>plant</w:t>
            </w:r>
            <w:r w:rsidRPr="00E6140E">
              <w:t xml:space="preserve"> commodities including </w:t>
            </w:r>
            <w:r>
              <w:t xml:space="preserve">their </w:t>
            </w:r>
            <w:r w:rsidRPr="00E6140E">
              <w:t>extracts and substances</w:t>
            </w:r>
            <w:r>
              <w:t xml:space="preserve"> that </w:t>
            </w:r>
            <w:r w:rsidRPr="00E6140E">
              <w:t>have</w:t>
            </w:r>
            <w:r>
              <w:t>,</w:t>
            </w:r>
            <w:r w:rsidRPr="00E6140E">
              <w:t xml:space="preserve"> </w:t>
            </w:r>
            <w:r>
              <w:t xml:space="preserve">or are reasonably expected to have, </w:t>
            </w:r>
            <w:r w:rsidRPr="00E6140E">
              <w:t>weight loss purpose/properties at the intended levels of consumption.</w:t>
            </w:r>
          </w:p>
          <w:p w14:paraId="148EAA73" w14:textId="77777777" w:rsidR="00F15274" w:rsidRDefault="00F15274" w:rsidP="00782309">
            <w:pPr>
              <w:ind w:left="34"/>
              <w:contextualSpacing/>
            </w:pPr>
          </w:p>
          <w:p w14:paraId="402DBE71" w14:textId="77777777" w:rsidR="00F15274" w:rsidRDefault="00F15274" w:rsidP="00782309">
            <w:pPr>
              <w:ind w:left="459"/>
              <w:contextualSpacing/>
            </w:pPr>
            <w:r>
              <w:t>The exclusion does not apply to foods without these properties that otherwise qualify to carry diet, low energy or similar claims, or that are regulated as meal replacements by Standard 2.9.3 or as food for special (medical) purposes by Standards 2.9.5 or 1.1A.6.</w:t>
            </w:r>
          </w:p>
        </w:tc>
      </w:tr>
    </w:tbl>
    <w:p w14:paraId="4A7982AA" w14:textId="77777777" w:rsidR="00F15274" w:rsidRDefault="00F15274">
      <w:pPr>
        <w:widowControl/>
        <w:rPr>
          <w:u w:color="FFFF00"/>
        </w:rPr>
      </w:pPr>
    </w:p>
    <w:p w14:paraId="32969D8F" w14:textId="77777777" w:rsidR="00C7427E" w:rsidRPr="0090733F" w:rsidRDefault="00C7427E" w:rsidP="0090733F">
      <w:pPr>
        <w:widowControl/>
        <w:pBdr>
          <w:top w:val="single" w:sz="4" w:space="1" w:color="auto"/>
          <w:left w:val="single" w:sz="4" w:space="4" w:color="auto"/>
          <w:bottom w:val="single" w:sz="4" w:space="1" w:color="auto"/>
          <w:right w:val="single" w:sz="4" w:space="4" w:color="auto"/>
        </w:pBdr>
        <w:shd w:val="clear" w:color="auto" w:fill="EAF1DD" w:themeFill="accent3" w:themeFillTint="33"/>
        <w:rPr>
          <w:b/>
          <w:u w:color="FFFF00"/>
        </w:rPr>
      </w:pPr>
      <w:r w:rsidRPr="0090733F">
        <w:rPr>
          <w:b/>
          <w:u w:color="FFFF00"/>
        </w:rPr>
        <w:t>Question</w:t>
      </w:r>
    </w:p>
    <w:p w14:paraId="57273CB5" w14:textId="77777777" w:rsidR="00C7427E" w:rsidRDefault="00C7427E" w:rsidP="0090733F">
      <w:pPr>
        <w:widowControl/>
        <w:pBdr>
          <w:top w:val="single" w:sz="4" w:space="1" w:color="auto"/>
          <w:left w:val="single" w:sz="4" w:space="4" w:color="auto"/>
          <w:bottom w:val="single" w:sz="4" w:space="1" w:color="auto"/>
          <w:right w:val="single" w:sz="4" w:space="4" w:color="auto"/>
        </w:pBdr>
        <w:shd w:val="clear" w:color="auto" w:fill="EAF1DD" w:themeFill="accent3" w:themeFillTint="33"/>
        <w:rPr>
          <w:u w:color="FFFF00"/>
        </w:rPr>
      </w:pPr>
    </w:p>
    <w:p w14:paraId="1750C9B7" w14:textId="77777777" w:rsidR="00C7427E" w:rsidRDefault="0090733F" w:rsidP="0090733F">
      <w:pPr>
        <w:widowControl/>
        <w:pBdr>
          <w:top w:val="single" w:sz="4" w:space="1" w:color="auto"/>
          <w:left w:val="single" w:sz="4" w:space="4" w:color="auto"/>
          <w:bottom w:val="single" w:sz="4" w:space="1" w:color="auto"/>
          <w:right w:val="single" w:sz="4" w:space="4" w:color="auto"/>
        </w:pBdr>
        <w:shd w:val="clear" w:color="auto" w:fill="EAF1DD" w:themeFill="accent3" w:themeFillTint="33"/>
        <w:rPr>
          <w:u w:color="FFFF00"/>
        </w:rPr>
      </w:pPr>
      <w:r>
        <w:rPr>
          <w:u w:color="FFFF00"/>
        </w:rPr>
        <w:t xml:space="preserve">The exclusions make reference to ‘reasonable potential’ and ‘reasonably expected’. FSANZ’s intent is to capture foods that are pharmacologically active or have biological activity beyond basic nutrition at the levels they are intended to be used. Can you make suggestions in relation to how such foods might be captured to ensure they are subject to pre-market assessment? </w:t>
      </w:r>
    </w:p>
    <w:p w14:paraId="115742C8" w14:textId="77777777" w:rsidR="00216BB5" w:rsidRDefault="00216BB5" w:rsidP="000D0DA9">
      <w:pPr>
        <w:pStyle w:val="Heading3"/>
        <w:rPr>
          <w:u w:color="FFFF00"/>
        </w:rPr>
      </w:pPr>
      <w:bookmarkStart w:id="109" w:name="_Toc434396108"/>
      <w:bookmarkStart w:id="110" w:name="_Toc436754869"/>
      <w:r>
        <w:rPr>
          <w:u w:color="FFFF00"/>
        </w:rPr>
        <w:t>Industry self-assessment</w:t>
      </w:r>
      <w:bookmarkEnd w:id="109"/>
      <w:bookmarkEnd w:id="110"/>
    </w:p>
    <w:p w14:paraId="5BA9A934" w14:textId="232F3AE0" w:rsidR="00963C78" w:rsidRPr="002F244E" w:rsidRDefault="00963C78">
      <w:pPr>
        <w:widowControl/>
        <w:rPr>
          <w:u w:color="FFFF00"/>
        </w:rPr>
      </w:pPr>
      <w:r>
        <w:rPr>
          <w:rFonts w:cstheme="minorBidi"/>
          <w:szCs w:val="22"/>
        </w:rPr>
        <w:t xml:space="preserve">The draft </w:t>
      </w:r>
      <w:r w:rsidR="00230BCC">
        <w:rPr>
          <w:rFonts w:cstheme="minorBidi"/>
          <w:szCs w:val="22"/>
        </w:rPr>
        <w:t>framework described in section 4</w:t>
      </w:r>
      <w:r>
        <w:rPr>
          <w:rFonts w:cstheme="minorBidi"/>
          <w:szCs w:val="22"/>
        </w:rPr>
        <w:t xml:space="preserve">.2.3 notes foods that do not meet the </w:t>
      </w:r>
      <w:r w:rsidR="00382579">
        <w:t>EFC</w:t>
      </w:r>
      <w:r>
        <w:rPr>
          <w:rFonts w:cstheme="minorBidi"/>
          <w:szCs w:val="22"/>
        </w:rPr>
        <w:t xml:space="preserve"> would be subject to a greater level of pre-market assessment than eligible foods. However, the draft framework suggests an industry self-assessment process may be appropriate for a subset of foods that do not meet the </w:t>
      </w:r>
      <w:r w:rsidR="00382579">
        <w:t>EFC</w:t>
      </w:r>
      <w:r>
        <w:rPr>
          <w:rFonts w:cstheme="minorBidi"/>
          <w:szCs w:val="22"/>
        </w:rPr>
        <w:t>. In order to determine which foods can be self-assessed for safety by industry, ‘gateway tests’ may need to be developed. A food that satisfies a gateway test may be suitable for self-assessment. Other foods may require FSANZ assessment, via the existing application route</w:t>
      </w:r>
      <w:r w:rsidR="002F244E">
        <w:rPr>
          <w:rFonts w:cstheme="minorBidi"/>
          <w:szCs w:val="22"/>
        </w:rPr>
        <w:t xml:space="preserve">, before they can be sold. </w:t>
      </w:r>
    </w:p>
    <w:p w14:paraId="16CD12B9" w14:textId="77777777" w:rsidR="00F15274" w:rsidRDefault="00EC2654" w:rsidP="00963C78">
      <w:pPr>
        <w:pStyle w:val="Heading4"/>
        <w:rPr>
          <w:u w:color="FFFF00"/>
        </w:rPr>
      </w:pPr>
      <w:r>
        <w:rPr>
          <w:u w:color="FFFF00"/>
        </w:rPr>
        <w:t xml:space="preserve">Gateway tests </w:t>
      </w:r>
    </w:p>
    <w:p w14:paraId="54540D16" w14:textId="77777777" w:rsidR="00EC2654" w:rsidRDefault="00EC2654" w:rsidP="00EC2654">
      <w:r>
        <w:t>FSANZ has not developed the detail of these gateway tests for the purposes of this assessment summary but will do so in more detail if this draft framework is considered to warrant further development. A couple of examples of potential gateway tests are illustrated below:</w:t>
      </w:r>
    </w:p>
    <w:p w14:paraId="3786E294" w14:textId="77777777" w:rsidR="00EC2654" w:rsidRDefault="00EC2654" w:rsidP="00EC2654"/>
    <w:p w14:paraId="4CAF1C96" w14:textId="77777777" w:rsidR="00EC2654" w:rsidRDefault="00EC2654" w:rsidP="00EC2654">
      <w:pPr>
        <w:pStyle w:val="FSBullet1"/>
      </w:pPr>
      <w:r>
        <w:t>Approval of the food by an international food regulatory agency that has similar regulatory and safety data requirements to FSANZ. The data used to gain approval of the food in another jurisdiction may be used as the basis for a self-assessment by industry for access to the Australian and New Zealand market. It is likely that the Code would need to set out such requirements. Depending on the nature of the assessment by the international food regulatory agency, and on any specific requirements for the Australian and New Zealand markets, some data may be required in addition to those considered as part of the international approval process.</w:t>
      </w:r>
    </w:p>
    <w:p w14:paraId="74E871A4" w14:textId="77777777" w:rsidR="00EC2654" w:rsidRPr="009A13AE" w:rsidRDefault="00EC2654" w:rsidP="00EC2654">
      <w:pPr>
        <w:ind w:left="567"/>
        <w:rPr>
          <w:lang w:bidi="ar-SA"/>
        </w:rPr>
      </w:pPr>
    </w:p>
    <w:p w14:paraId="145CA7E7" w14:textId="1A4A4864" w:rsidR="00EC2654" w:rsidRDefault="00EC2654" w:rsidP="00EC2654">
      <w:pPr>
        <w:pStyle w:val="FSBullet1"/>
      </w:pPr>
      <w:r>
        <w:t xml:space="preserve">Carve outs: It may be possible to develop categories of ‘non-eligible’ foods that could be self-assessed by industry. For example, minor variations from the </w:t>
      </w:r>
      <w:r w:rsidR="00382579">
        <w:t>EFC</w:t>
      </w:r>
      <w:r>
        <w:t xml:space="preserve"> could be categorised, such as certain types of substances or sources of substances. These carve outs would need to be defined in the Code. </w:t>
      </w:r>
    </w:p>
    <w:p w14:paraId="41A1FE0B" w14:textId="77777777" w:rsidR="00963C78" w:rsidRDefault="00963C78" w:rsidP="00963C78">
      <w:pPr>
        <w:pStyle w:val="FSBullet1"/>
        <w:numPr>
          <w:ilvl w:val="0"/>
          <w:numId w:val="0"/>
        </w:numPr>
      </w:pPr>
    </w:p>
    <w:p w14:paraId="3A1B2ED7" w14:textId="77777777" w:rsidR="00230BCC" w:rsidRDefault="002F244E" w:rsidP="002F244E">
      <w:r>
        <w:t xml:space="preserve">An industry self-assessment route may provide industry with an alternative to the current FSANZ assessment process, for suitable foods. </w:t>
      </w:r>
      <w:r w:rsidR="00963C78">
        <w:t xml:space="preserve">FSANZ has received feedback from industry suggesting that the current FSANZ assessment process places significant regulatory burden on food businesses, particularly with respect to the time it takes FSANZ to complete an assessment and therefore, the time it takes to get a product onto the market. </w:t>
      </w:r>
      <w:r w:rsidR="00230BCC">
        <w:br w:type="page"/>
      </w:r>
    </w:p>
    <w:p w14:paraId="7E9BBD84" w14:textId="1E8A48E5" w:rsidR="00EC2654" w:rsidRPr="002F244E" w:rsidRDefault="00963C78" w:rsidP="002F244E">
      <w:pPr>
        <w:rPr>
          <w:rFonts w:cstheme="minorBidi"/>
          <w:szCs w:val="22"/>
        </w:rPr>
      </w:pPr>
      <w:r>
        <w:lastRenderedPageBreak/>
        <w:t xml:space="preserve">Industry has also noted the transparent nature of the FSANZ assessment process allows competitors to take advantage of the work done by the food business in preparing the application due to the time it takes FSANZ to complete its assessment. Competitors are able to market approved products without having to prepare and submit their own application. FSANZ recognises its </w:t>
      </w:r>
      <w:r>
        <w:rPr>
          <w:rFonts w:cstheme="minorBidi"/>
          <w:szCs w:val="22"/>
        </w:rPr>
        <w:t>assessment process is transparent and accountable. However, there are provisions in the FSANZ Act to permit certain information to remain commercial-in-confidence and not be published as part of FSANZ’s assessment process. Applicants can also request exclusive permission to be attached to the approval of novel foods, so that only the applicant’s brand of novel food can be sold for a period of 15 months following gazettal of the permission in the Code. The time FSANZ takes to assess applications compares favourably with those of other major regulators in respect to novel foods.</w:t>
      </w:r>
    </w:p>
    <w:p w14:paraId="37C262C5" w14:textId="77777777" w:rsidR="00F15274" w:rsidRDefault="00407692" w:rsidP="000D0DA9">
      <w:pPr>
        <w:pStyle w:val="Heading3"/>
        <w:rPr>
          <w:u w:color="FFFF00"/>
        </w:rPr>
      </w:pPr>
      <w:bookmarkStart w:id="111" w:name="_Toc434396109"/>
      <w:bookmarkStart w:id="112" w:name="_Toc436754870"/>
      <w:r>
        <w:rPr>
          <w:u w:color="FFFF00"/>
        </w:rPr>
        <w:t>Dossier requirements</w:t>
      </w:r>
      <w:bookmarkEnd w:id="111"/>
      <w:bookmarkEnd w:id="112"/>
    </w:p>
    <w:p w14:paraId="3753F61C" w14:textId="56F6196C" w:rsidR="00407692" w:rsidRDefault="002F244E" w:rsidP="00407692">
      <w:proofErr w:type="gramStart"/>
      <w:r>
        <w:t xml:space="preserve">Section </w:t>
      </w:r>
      <w:r w:rsidR="00230BCC">
        <w:t>4</w:t>
      </w:r>
      <w:r>
        <w:t xml:space="preserve">.2.3 notes that an industry self-assessment process would include a requirement that the food business assessing the safety of the food would need </w:t>
      </w:r>
      <w:r w:rsidR="00D74278">
        <w:t xml:space="preserve">to </w:t>
      </w:r>
      <w:r>
        <w:t>prepare a dossier and submit it to food regulators/authorities.</w:t>
      </w:r>
      <w:proofErr w:type="gramEnd"/>
      <w:r>
        <w:t xml:space="preserve"> The dossier requirements would need to be set out in the Code and would include the type of data required to assess safety. </w:t>
      </w:r>
      <w:r w:rsidR="00407692">
        <w:t>The dossier would also have to include consideration of whether any risk management options may be required for the food. For example, the food may have similar characteristics to foods for which there are existing specific labelling requirements in the Code (such as including an advisory statement for a polyol that is not currently listed in Standard 1.2.3 or instructions/directions for use for foods that require specific preparation steps after purchase). Dossiers would need to evaluate the safety of the food in the context of its intended use in the food supply, including the types of foods and the levels at which it will be added to these foods. The requirement to consider risk management options would need to be specified in the Code and in guidance material for a self-assessment process.</w:t>
      </w:r>
    </w:p>
    <w:p w14:paraId="2B156225" w14:textId="77777777" w:rsidR="00B50218" w:rsidRDefault="00B50218" w:rsidP="00407692"/>
    <w:p w14:paraId="6E62F457" w14:textId="3A3A3334" w:rsidR="00407692" w:rsidRDefault="00407692" w:rsidP="00407692">
      <w:r>
        <w:t xml:space="preserve">Standard 1.2.7 – Nutrition, Health and Related Claims requires the substantiation of health food health relationships. Schedule 6 of the revised Code sets out the process of systematic review used to establish a relationship between a food or a property of a food and a health effect. Guidance material on establishing a food-health relationship has been developed to assist industry and food enforcement agencies. Although the health claims framework relates to the substantiation of food-health relationships, rather than establishing the safety of foods, FSANZ considers some aspects of the health claims framework may provide a basis for developing data requirements that would need to be met when establishing the safety of a new food. </w:t>
      </w:r>
    </w:p>
    <w:p w14:paraId="654491B5" w14:textId="77777777" w:rsidR="00F15274" w:rsidRDefault="00407692" w:rsidP="000D0DA9">
      <w:pPr>
        <w:pStyle w:val="Heading3"/>
        <w:rPr>
          <w:u w:color="FFFF00"/>
        </w:rPr>
      </w:pPr>
      <w:bookmarkStart w:id="113" w:name="_Toc434396110"/>
      <w:bookmarkStart w:id="114" w:name="_Toc436754871"/>
      <w:r>
        <w:rPr>
          <w:u w:color="FFFF00"/>
        </w:rPr>
        <w:t>Publication of dossiers</w:t>
      </w:r>
      <w:bookmarkEnd w:id="113"/>
      <w:bookmarkEnd w:id="114"/>
    </w:p>
    <w:p w14:paraId="1296C05F" w14:textId="77777777" w:rsidR="00407692" w:rsidRDefault="002F244E" w:rsidP="00407692">
      <w:r>
        <w:t xml:space="preserve">In addition to preparing and submitting a dossier under an industry self-assessment process, FSANZ notes that dossiers may need to be published to maintain a level of transparency and accountability that will ensure public confidence in the safety of foods supplied in Australia and New Zealand. </w:t>
      </w:r>
      <w:r w:rsidR="00407692">
        <w:t>FSANZ does not have the legal power under the FSANZ Act to maintain a register of foods in a similar way to United States Food and Drug Administration’s (FDA’s) Generally Recognised as Safe (GRAS) inventory, particularly in relation to assessing and responding to notifications. Upon receipt of a GRAS dossier from a food business, the FDA conducts a preliminary assessment to determine whether it has any questions in relation to the assessment of safety conducted by the food business. A similar approach is followed by Health Canada for Natural Health Products (see SD4 for more detail on international regulatory approaches). FSANZ can only assess a submission if it is an application to amend the Code. Therefore, similar to the health claims approach, FSANZ would not assess dossiers submitted under point 3 above.</w:t>
      </w:r>
    </w:p>
    <w:p w14:paraId="3C5EBA67" w14:textId="77777777" w:rsidR="00B50218" w:rsidRPr="00B50218" w:rsidRDefault="00B50218" w:rsidP="00407692"/>
    <w:p w14:paraId="77CF7435" w14:textId="77777777" w:rsidR="00230BCC" w:rsidRDefault="00230BCC" w:rsidP="000D63FB">
      <w:r>
        <w:br w:type="page"/>
      </w:r>
    </w:p>
    <w:p w14:paraId="1921DC9C" w14:textId="6CEDBF44" w:rsidR="000D63FB" w:rsidRDefault="000D63FB" w:rsidP="000D63FB">
      <w:r>
        <w:lastRenderedPageBreak/>
        <w:t xml:space="preserve">Consideration may need to be given to introducing a mandated time period that must pass after submitting a dossier before the dossier is made available to the general public and a food business can supply a food. This time period may provide food enforcement agencies with the opportunity to conduct a preliminary assessment of the dossier and to raise concerns with a food business before the dossier is published and the food is marketed. </w:t>
      </w:r>
    </w:p>
    <w:p w14:paraId="43190252" w14:textId="77777777" w:rsidR="000D63FB" w:rsidRDefault="000D63FB" w:rsidP="000D63FB"/>
    <w:p w14:paraId="317ADFBA" w14:textId="77777777" w:rsidR="000D63FB" w:rsidRDefault="000D63FB" w:rsidP="00CF3894">
      <w:pPr>
        <w:rPr>
          <w:u w:color="FFFF00"/>
        </w:rPr>
      </w:pPr>
      <w:r>
        <w:t xml:space="preserve">A requirement to submit a dossier for publication would allow food businesses to control the time to market for products and prevent other food businesses from selling the food unless they too have submitted a dossier. A food business could submit a dossier at a time that coincides with the intended release of a product. This may allay one of the concerns relating to the FSANZ assessment process outlined above. The information included in the dossier would then be publicly available online. A published dossier should include relevant data and analysis of data to clearly illustrate how the safety of the food was established. As noted previously, further consideration may be required to determine the type of information that can remain confidential to the food business and not be included in the dossier, while still ensuring the public has enough information to be satisfied with the food business’ assessment of safety. </w:t>
      </w:r>
    </w:p>
    <w:p w14:paraId="51E5B78A" w14:textId="77777777" w:rsidR="006F71B2" w:rsidRDefault="006F71B2" w:rsidP="000D0DA9">
      <w:pPr>
        <w:pStyle w:val="Heading3"/>
        <w:rPr>
          <w:u w:color="FFFF00"/>
        </w:rPr>
      </w:pPr>
      <w:bookmarkStart w:id="115" w:name="_Toc434396111"/>
      <w:bookmarkStart w:id="116" w:name="_Toc436754872"/>
      <w:r>
        <w:rPr>
          <w:u w:color="FFFF00"/>
        </w:rPr>
        <w:t>Other matters</w:t>
      </w:r>
      <w:r w:rsidR="00FB4430">
        <w:rPr>
          <w:u w:color="FFFF00"/>
        </w:rPr>
        <w:t xml:space="preserve"> related to draft framework</w:t>
      </w:r>
      <w:bookmarkEnd w:id="115"/>
      <w:bookmarkEnd w:id="116"/>
    </w:p>
    <w:p w14:paraId="74BF0238" w14:textId="77777777" w:rsidR="006F71B2" w:rsidRDefault="006F71B2" w:rsidP="00FB4430">
      <w:pPr>
        <w:pStyle w:val="Heading4"/>
      </w:pPr>
      <w:r>
        <w:t>Impact on current standards</w:t>
      </w:r>
    </w:p>
    <w:p w14:paraId="5EC51D6C" w14:textId="77777777" w:rsidR="006F71B2" w:rsidRDefault="006F71B2" w:rsidP="006F71B2">
      <w:r>
        <w:t xml:space="preserve">Existing permissions for novel foods would be maintained in a revised standard or in commodity based standards in Chapter 2 of the Code (phytosterol permissions in Standard 1.5.1 are also highlighted in Chapter 2 standards, such as Standard 2.5.1 for phytosterols permitted to be added to milk). Nutritive substance permissions would remain in the respective standards in which those permissions are listed. To date, nutritive substances other than vitamins and minerals are permitted only in standards for special purpose foods. Whether these substances would still be referred to as nutritive substances, or a more generic description has not yet been determined. Further consideration of any impact on the wording of current permissions for nutritive substances will be undertaken if an alternative approach is developed as part of this proposal. A full list of Code permissions for the sale of novel foods and the addition of nutritive substances to food is included at Attachment </w:t>
      </w:r>
      <w:r w:rsidR="00CF3894">
        <w:t>D</w:t>
      </w:r>
      <w:r>
        <w:t xml:space="preserve">. </w:t>
      </w:r>
    </w:p>
    <w:p w14:paraId="4B069479" w14:textId="77777777" w:rsidR="006F71B2" w:rsidRDefault="006F71B2" w:rsidP="006F71B2"/>
    <w:p w14:paraId="567AB06F" w14:textId="77777777" w:rsidR="006F71B2" w:rsidRDefault="006F71B2" w:rsidP="006F71B2">
      <w:r>
        <w:t>In relation to novel food permissions in the Code, some stakeholders have questioned when an approved novel food ceases to be novel; and therefore when permission in the Code is no longer required. At present novel food permissions in the Code do not have a date after which a permitted novel food is no longer considered novel; the permissions remains in the Code with no end date specified. In general, where novel food permissions have no conditions of use associated with the permission</w:t>
      </w:r>
      <w:r w:rsidR="00D56BDF">
        <w:t xml:space="preserve"> (this is the case for most novel food permissions in the Code</w:t>
      </w:r>
      <w:r w:rsidR="00AE0575">
        <w:t xml:space="preserve">) </w:t>
      </w:r>
      <w:r w:rsidR="00D56BDF">
        <w:t>the foods may no longer need to be considered as novel</w:t>
      </w:r>
      <w:r w:rsidR="00AE0575">
        <w:t xml:space="preserve"> because they do not require </w:t>
      </w:r>
      <w:r w:rsidR="00D56BDF">
        <w:t xml:space="preserve">further assessment. </w:t>
      </w:r>
      <w:r>
        <w:t xml:space="preserve">However, </w:t>
      </w:r>
      <w:r w:rsidR="00D56BDF">
        <w:t xml:space="preserve">where overall exposure may need to be assessed, then it may be necessary for permissions for extension of use to be subject to a pre-approval process. For example, </w:t>
      </w:r>
      <w:r>
        <w:t xml:space="preserve">in the case of phytosterols, permissions are restricted to certain foods and levels. In order to add phytosterols to other foods, food businesses would need to submit an application to FSANZ to request an extension of the phytosterol permissions. To date, FSANZ has not proposed amending novel food permissions to stipulate that a permitted novel food is no longer novel. FSANZ considers this would remain the case under a graduated risk approach when there are concerns or uncertainty about the potential impact in relation to levels of consumption of a novel food across the food supply. </w:t>
      </w:r>
    </w:p>
    <w:p w14:paraId="3BCF814B" w14:textId="20D3D3C8" w:rsidR="00230BCC" w:rsidRDefault="00230BCC">
      <w:pPr>
        <w:widowControl/>
        <w:rPr>
          <w:u w:color="FFFF00"/>
        </w:rPr>
      </w:pPr>
      <w:r>
        <w:rPr>
          <w:u w:color="FFFF00"/>
        </w:rPr>
        <w:br w:type="page"/>
      </w:r>
    </w:p>
    <w:p w14:paraId="229FF476" w14:textId="77777777" w:rsidR="006F71B2" w:rsidRPr="003D597E" w:rsidRDefault="006F71B2" w:rsidP="006F71B2">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sidRPr="003D597E">
        <w:rPr>
          <w:b/>
        </w:rPr>
        <w:lastRenderedPageBreak/>
        <w:t>Questions:</w:t>
      </w:r>
    </w:p>
    <w:p w14:paraId="6D722104" w14:textId="77777777" w:rsidR="006F71B2" w:rsidRDefault="006F71B2" w:rsidP="006F71B2">
      <w:pPr>
        <w:pBdr>
          <w:top w:val="single" w:sz="4" w:space="1" w:color="auto"/>
          <w:left w:val="single" w:sz="4" w:space="4" w:color="auto"/>
          <w:bottom w:val="single" w:sz="4" w:space="1" w:color="auto"/>
          <w:right w:val="single" w:sz="4" w:space="4" w:color="auto"/>
        </w:pBdr>
        <w:shd w:val="clear" w:color="auto" w:fill="EAF1DD" w:themeFill="accent3" w:themeFillTint="33"/>
      </w:pPr>
    </w:p>
    <w:p w14:paraId="4E69819A" w14:textId="77777777" w:rsidR="000D63FB" w:rsidRPr="00FB4430" w:rsidRDefault="006F71B2" w:rsidP="00FB4430">
      <w:pPr>
        <w:pBdr>
          <w:top w:val="single" w:sz="4" w:space="1" w:color="auto"/>
          <w:left w:val="single" w:sz="4" w:space="4" w:color="auto"/>
          <w:bottom w:val="single" w:sz="4" w:space="1" w:color="auto"/>
          <w:right w:val="single" w:sz="4" w:space="4" w:color="auto"/>
        </w:pBdr>
        <w:shd w:val="clear" w:color="auto" w:fill="EAF1DD" w:themeFill="accent3" w:themeFillTint="33"/>
      </w:pPr>
      <w:r w:rsidRPr="009C1187">
        <w:t>Why is it important for novel foods permitted in the Code to be declared ‘not novel’ after a certain period of time?</w:t>
      </w:r>
      <w:r>
        <w:t xml:space="preserve"> Please explain the impacts on your business of novel food permissions remaining in the Code (as novel foods). </w:t>
      </w:r>
    </w:p>
    <w:p w14:paraId="409DC10B" w14:textId="77777777" w:rsidR="006F71B2" w:rsidRDefault="00445726" w:rsidP="00FB4430">
      <w:pPr>
        <w:pStyle w:val="Heading4"/>
        <w:rPr>
          <w:u w:color="FFFF00"/>
        </w:rPr>
      </w:pPr>
      <w:r>
        <w:rPr>
          <w:u w:color="FFFF00"/>
        </w:rPr>
        <w:t>Policy guidance</w:t>
      </w:r>
    </w:p>
    <w:p w14:paraId="7F03A380" w14:textId="1F065903" w:rsidR="005F1DF1" w:rsidRDefault="005F1DF1" w:rsidP="005F1DF1">
      <w:r w:rsidRPr="0033352A">
        <w:t xml:space="preserve">The </w:t>
      </w:r>
      <w:r>
        <w:t>draft framework</w:t>
      </w:r>
      <w:r w:rsidRPr="0033352A">
        <w:t xml:space="preserve"> primarily focuses on ensuring safety of the substance for human consumption</w:t>
      </w:r>
      <w:r>
        <w:t>, which is FSANZ’s primary statutory objective</w:t>
      </w:r>
      <w:r w:rsidRPr="0033352A">
        <w:t xml:space="preserve">. The </w:t>
      </w:r>
      <w:r>
        <w:t xml:space="preserve">Ministerial </w:t>
      </w:r>
      <w:r w:rsidRPr="0033352A">
        <w:t xml:space="preserve">Policy Guideline </w:t>
      </w:r>
      <w:r>
        <w:t xml:space="preserve">on substances other than vitamins and minerals </w:t>
      </w:r>
      <w:r w:rsidRPr="0033352A">
        <w:t>(</w:t>
      </w:r>
      <w:r w:rsidRPr="005B5ED7">
        <w:t xml:space="preserve">see section </w:t>
      </w:r>
      <w:r w:rsidR="00230BCC">
        <w:t>4</w:t>
      </w:r>
      <w:r>
        <w:t>.1.</w:t>
      </w:r>
      <w:r w:rsidR="00084A2A">
        <w:t>4</w:t>
      </w:r>
      <w:r w:rsidRPr="005B5ED7">
        <w:t>) also identifies</w:t>
      </w:r>
      <w:r w:rsidRPr="0033352A">
        <w:t xml:space="preserve"> three other issues to consider, namely:</w:t>
      </w:r>
    </w:p>
    <w:p w14:paraId="49A463E7" w14:textId="77777777" w:rsidR="005F1DF1" w:rsidRDefault="005F1DF1" w:rsidP="005F1DF1"/>
    <w:p w14:paraId="42997F3E" w14:textId="77777777" w:rsidR="005F1DF1" w:rsidRDefault="005F1DF1" w:rsidP="005F1DF1">
      <w:pPr>
        <w:pStyle w:val="FSBullet1"/>
      </w:pPr>
      <w:r w:rsidRPr="0033352A">
        <w:t>the stated purpose for adding the substance and the consistency to deliver this purpose</w:t>
      </w:r>
    </w:p>
    <w:p w14:paraId="15B33DB3" w14:textId="77777777" w:rsidR="005F1DF1" w:rsidRPr="0033352A" w:rsidRDefault="005F1DF1" w:rsidP="005F1DF1">
      <w:pPr>
        <w:widowControl/>
      </w:pPr>
    </w:p>
    <w:p w14:paraId="1852BD25" w14:textId="77777777" w:rsidR="005F1DF1" w:rsidRDefault="005F1DF1" w:rsidP="005F1DF1">
      <w:pPr>
        <w:pStyle w:val="FSBullet1"/>
      </w:pPr>
      <w:r w:rsidRPr="0033352A">
        <w:t>the potential for the addition of the substance to create a significant negative public health impact to the general population or sub population</w:t>
      </w:r>
    </w:p>
    <w:p w14:paraId="392EE200" w14:textId="77777777" w:rsidR="005F1DF1" w:rsidRPr="0033352A" w:rsidRDefault="005F1DF1" w:rsidP="005F1DF1">
      <w:pPr>
        <w:widowControl/>
      </w:pPr>
    </w:p>
    <w:p w14:paraId="56A0DE42" w14:textId="77777777" w:rsidR="005F1DF1" w:rsidRDefault="005F1DF1" w:rsidP="005F1DF1">
      <w:pPr>
        <w:pStyle w:val="FSBullet1"/>
      </w:pPr>
      <w:proofErr w:type="gramStart"/>
      <w:r w:rsidRPr="0033352A">
        <w:t>the</w:t>
      </w:r>
      <w:proofErr w:type="gramEnd"/>
      <w:r w:rsidRPr="0033352A">
        <w:t xml:space="preserve"> potential for consumers to be misled about the nutritional quality of the food containing the added substance.</w:t>
      </w:r>
    </w:p>
    <w:p w14:paraId="747B7605" w14:textId="77777777" w:rsidR="005F1DF1" w:rsidRDefault="005F1DF1" w:rsidP="005F1DF1"/>
    <w:p w14:paraId="3F6B9B2C" w14:textId="77777777" w:rsidR="005F1DF1" w:rsidRDefault="005F1DF1" w:rsidP="005F1DF1">
      <w:r>
        <w:t xml:space="preserve">How these issues might be addressed under the draft framework requires further consideration. Some initial considerations are provided below. </w:t>
      </w:r>
    </w:p>
    <w:p w14:paraId="1E2CBC7B" w14:textId="77777777" w:rsidR="005F1DF1" w:rsidRDefault="005F1DF1" w:rsidP="00445726"/>
    <w:p w14:paraId="354777D3" w14:textId="77777777" w:rsidR="00445726" w:rsidRDefault="00445726" w:rsidP="00445726">
      <w:r>
        <w:t>As a first step, the spectrum of potential measures to address each issue is outlined. The relevance of the measures for each of the three pathways under the graduated risk approach will require consideration in future reports.</w:t>
      </w:r>
    </w:p>
    <w:p w14:paraId="11CCBBE3" w14:textId="77777777" w:rsidR="00445726" w:rsidRDefault="00445726" w:rsidP="00445726"/>
    <w:p w14:paraId="7650ABF5" w14:textId="77777777" w:rsidR="00445726" w:rsidRPr="008B586E" w:rsidRDefault="00445726" w:rsidP="00445726">
      <w:pPr>
        <w:rPr>
          <w:i/>
        </w:rPr>
      </w:pPr>
      <w:r w:rsidRPr="008B586E">
        <w:rPr>
          <w:i/>
        </w:rPr>
        <w:t>Consistency with stated purpose</w:t>
      </w:r>
    </w:p>
    <w:p w14:paraId="0FE1D490" w14:textId="77777777" w:rsidR="00445726" w:rsidRDefault="00445726" w:rsidP="00445726"/>
    <w:p w14:paraId="65A443D8" w14:textId="77777777" w:rsidR="00445726" w:rsidRDefault="00445726" w:rsidP="00445726">
      <w:r>
        <w:t>The approach could require food businesses to clearly articulate to regulators the purpose of adding a substance to a food. Whether any stated purpose is acceptable, or must fit a particular category of purpose needs to be considered.</w:t>
      </w:r>
    </w:p>
    <w:p w14:paraId="69CBA3C3" w14:textId="77777777" w:rsidR="00445726" w:rsidRDefault="00445726" w:rsidP="00445726"/>
    <w:p w14:paraId="44565811" w14:textId="77777777" w:rsidR="00445726" w:rsidRDefault="00445726" w:rsidP="00445726">
      <w:r>
        <w:t xml:space="preserve">Similarly, the quality of evidence required to demonstrate that the quantity and form of the substance in the food will deliver the stated purpose needs to be considered. The spectrum of measures ranges from requiring no evidence to substantiate the stated purpose (noting that the health claims standard would provide a level of control for those products that intend to make claims), to a method set in regulation that requires a certain quality of evidence to substantiate the stated purpose. The quality of evidence could be relatively low, as currently required by the </w:t>
      </w:r>
      <w:r>
        <w:rPr>
          <w:i/>
        </w:rPr>
        <w:t>Application Handbook</w:t>
      </w:r>
      <w:r>
        <w:t xml:space="preserve"> to demonstrate consistency with stated purpose, or high, as required to substantiate food-health relationships under the health claims standard.</w:t>
      </w:r>
    </w:p>
    <w:p w14:paraId="3F7D510D" w14:textId="77777777" w:rsidR="00445726" w:rsidRDefault="00445726" w:rsidP="00445726"/>
    <w:p w14:paraId="459B4780" w14:textId="77777777" w:rsidR="00445726" w:rsidRPr="008B586E" w:rsidRDefault="00445726" w:rsidP="00445726">
      <w:pPr>
        <w:rPr>
          <w:i/>
        </w:rPr>
      </w:pPr>
      <w:r w:rsidRPr="008B586E">
        <w:rPr>
          <w:i/>
        </w:rPr>
        <w:t>Safety and negative impacts on public health</w:t>
      </w:r>
    </w:p>
    <w:p w14:paraId="7112C2ED" w14:textId="77777777" w:rsidR="00445726" w:rsidRDefault="00445726" w:rsidP="00445726"/>
    <w:p w14:paraId="77CCFE99" w14:textId="34BD6FD4" w:rsidR="00445726" w:rsidRDefault="00445726" w:rsidP="00445726">
      <w:r>
        <w:t>A safety concern is that consumers may consume on a regular basis multiple foods that contain the same substance, resulting in an intake above levels considered safe for that subst</w:t>
      </w:r>
      <w:r w:rsidR="009E169A">
        <w:t xml:space="preserve">ance (i.e. cumulative effect). </w:t>
      </w:r>
      <w:r>
        <w:t>The</w:t>
      </w:r>
      <w:r w:rsidR="009E169A">
        <w:t xml:space="preserve"> assessment of risks and safety data requirements for new foods</w:t>
      </w:r>
      <w:r>
        <w:t xml:space="preserve"> includes initial consideration of cumulative effects of exposure to foods (SD2).</w:t>
      </w:r>
    </w:p>
    <w:p w14:paraId="0E502135" w14:textId="77777777" w:rsidR="00445726" w:rsidRDefault="00445726" w:rsidP="00445726"/>
    <w:p w14:paraId="150848A4" w14:textId="77777777" w:rsidR="003B78B6" w:rsidRDefault="00445726" w:rsidP="00445726">
      <w:r>
        <w:t xml:space="preserve">The concern that the presence of a substance in a food may influence consumer food choice towards an unhealthy consumption pattern (e.g. an increase in consumption of high fat, sugar or salt foods) could be approached in several ways. </w:t>
      </w:r>
      <w:r w:rsidR="003B78B6">
        <w:br w:type="page"/>
      </w:r>
    </w:p>
    <w:p w14:paraId="331697D7" w14:textId="70660630" w:rsidR="00445726" w:rsidRDefault="00445726" w:rsidP="00445726">
      <w:r>
        <w:lastRenderedPageBreak/>
        <w:t xml:space="preserve">Evidence from reports of consumer behaviour is used to determine likely impacts on public health. Where such impacts are likely to be unfavourable, consideration could be given to additional regulatory approaches. For example, the compositional requirements </w:t>
      </w:r>
      <w:r w:rsidR="00A94DAA">
        <w:t>could be applied to</w:t>
      </w:r>
      <w:r>
        <w:t xml:space="preserve"> foods permitted to contain added substances, or food businesses could be required to provide/hold information on actual and/or potential consumption behaviour changes (i.e.</w:t>
      </w:r>
      <w:r w:rsidRPr="00830D3B">
        <w:t xml:space="preserve"> </w:t>
      </w:r>
      <w:r>
        <w:t>substitution, addition and avoidance) in response to the substance.</w:t>
      </w:r>
    </w:p>
    <w:p w14:paraId="04CBE5AE" w14:textId="77777777" w:rsidR="00445726" w:rsidRDefault="00445726" w:rsidP="00445726"/>
    <w:p w14:paraId="1D36FE22" w14:textId="77777777" w:rsidR="00445726" w:rsidRPr="008B586E" w:rsidRDefault="00445726" w:rsidP="00445726">
      <w:pPr>
        <w:rPr>
          <w:i/>
        </w:rPr>
      </w:pPr>
      <w:r>
        <w:rPr>
          <w:i/>
        </w:rPr>
        <w:t>P</w:t>
      </w:r>
      <w:r w:rsidRPr="008B586E">
        <w:rPr>
          <w:i/>
        </w:rPr>
        <w:t>otential to mislead</w:t>
      </w:r>
    </w:p>
    <w:p w14:paraId="61C0217C" w14:textId="77777777" w:rsidR="00445726" w:rsidRDefault="00445726" w:rsidP="00445726"/>
    <w:p w14:paraId="22D188A9" w14:textId="77777777" w:rsidR="000D63FB" w:rsidRPr="00FB4430" w:rsidRDefault="0065763A" w:rsidP="00FB4430">
      <w:r>
        <w:t xml:space="preserve">Existing labelling requirements in the Code will remain. </w:t>
      </w:r>
      <w:r w:rsidR="00445726">
        <w:t xml:space="preserve">The application of the generic labelling requirements to foods with added substances mitigates the potential for consumers to be misled about the nutritional quality of the food. </w:t>
      </w:r>
      <w:r w:rsidR="00445726" w:rsidDel="003F6A19">
        <w:t>These requirements relate to mandatory declarati</w:t>
      </w:r>
      <w:r w:rsidR="00445726">
        <w:t>ons in the statement of ingredients</w:t>
      </w:r>
      <w:r w:rsidR="00445726" w:rsidDel="003F6A19">
        <w:t xml:space="preserve"> and to the presence </w:t>
      </w:r>
      <w:r w:rsidR="00445726">
        <w:t xml:space="preserve">or otherwise </w:t>
      </w:r>
      <w:r w:rsidR="00445726" w:rsidDel="003F6A19">
        <w:t>of voluntary nutrition content or health claims on food labels.</w:t>
      </w:r>
      <w:r w:rsidR="00445726">
        <w:t xml:space="preserve"> The generic labelling requirements in the Code are intended to provide consumers with information to allow them to make informed purchasing decisions.</w:t>
      </w:r>
    </w:p>
    <w:p w14:paraId="5B748379" w14:textId="77777777" w:rsidR="00407692" w:rsidRDefault="00407692">
      <w:pPr>
        <w:widowControl/>
        <w:rPr>
          <w:u w:color="FFFF00"/>
        </w:rPr>
      </w:pPr>
    </w:p>
    <w:p w14:paraId="1FE4AF1F" w14:textId="77777777" w:rsidR="00936887" w:rsidRDefault="00936887">
      <w:pPr>
        <w:widowControl/>
        <w:rPr>
          <w:rFonts w:cs="Arial"/>
          <w:b/>
          <w:bCs/>
          <w:sz w:val="28"/>
          <w:szCs w:val="22"/>
          <w:u w:color="FFFF00"/>
          <w:lang w:bidi="ar-SA"/>
        </w:rPr>
      </w:pPr>
      <w:r>
        <w:rPr>
          <w:u w:color="FFFF00"/>
        </w:rPr>
        <w:br w:type="page"/>
      </w:r>
    </w:p>
    <w:p w14:paraId="231EFCE6" w14:textId="59B70B8D" w:rsidR="00292990" w:rsidRDefault="008E59A6" w:rsidP="003B78B6">
      <w:pPr>
        <w:pStyle w:val="Heading2"/>
        <w:ind w:left="0" w:firstLine="0"/>
      </w:pPr>
      <w:bookmarkStart w:id="117" w:name="_Toc436754873"/>
      <w:r>
        <w:rPr>
          <w:u w:color="FFFF00"/>
        </w:rPr>
        <w:lastRenderedPageBreak/>
        <w:t xml:space="preserve">Attachment </w:t>
      </w:r>
      <w:r w:rsidR="00CA6A49">
        <w:rPr>
          <w:u w:color="FFFF00"/>
        </w:rPr>
        <w:t>D</w:t>
      </w:r>
      <w:r w:rsidR="00900E47">
        <w:rPr>
          <w:u w:color="FFFF00"/>
        </w:rPr>
        <w:t xml:space="preserve"> </w:t>
      </w:r>
      <w:r w:rsidR="008B4835">
        <w:rPr>
          <w:u w:color="FFFF00"/>
        </w:rPr>
        <w:t xml:space="preserve">− </w:t>
      </w:r>
      <w:r w:rsidR="001967B9">
        <w:t xml:space="preserve">Code </w:t>
      </w:r>
      <w:r>
        <w:t>provisions for nutritive substances and novel foods</w:t>
      </w:r>
      <w:bookmarkEnd w:id="117"/>
      <w:r>
        <w:t xml:space="preserve"> </w:t>
      </w:r>
    </w:p>
    <w:p w14:paraId="7525E63A" w14:textId="4BE370DA" w:rsidR="001967B9" w:rsidRDefault="001967B9" w:rsidP="001967B9">
      <w:r>
        <w:t xml:space="preserve">Standard 1.1.1 </w:t>
      </w:r>
      <w:r w:rsidR="003B78B6">
        <w:t>–</w:t>
      </w:r>
      <w:r w:rsidR="00AA1045">
        <w:t xml:space="preserve"> </w:t>
      </w:r>
      <w:r>
        <w:t>Structure of the Code and general provisions sets out basic requirements for food for sale in Australia and New Zealand. In this Standard, food for sale must not be a ‘novel food’ (section 10(5</w:t>
      </w:r>
      <w:proofErr w:type="gramStart"/>
      <w:r>
        <w:t>)(</w:t>
      </w:r>
      <w:proofErr w:type="gramEnd"/>
      <w:r>
        <w:t xml:space="preserve">b)) and must not have as an ingredient or a component a substance that was ‘used as a nutritive substance’ (section 10(6)(b)). </w:t>
      </w:r>
    </w:p>
    <w:p w14:paraId="49FE3CBA" w14:textId="77777777" w:rsidR="001967B9" w:rsidRDefault="001967B9" w:rsidP="001967B9"/>
    <w:p w14:paraId="396C7693" w14:textId="25BBA420" w:rsidR="00AA1045" w:rsidRDefault="001967B9" w:rsidP="001967B9">
      <w:r>
        <w:t xml:space="preserve">Standard 1.1.2 </w:t>
      </w:r>
      <w:r w:rsidR="003B78B6">
        <w:t>–</w:t>
      </w:r>
      <w:r w:rsidR="00AA1045">
        <w:t xml:space="preserve"> </w:t>
      </w:r>
      <w:r>
        <w:t xml:space="preserve">Definitions </w:t>
      </w:r>
      <w:r w:rsidR="003B78B6">
        <w:t xml:space="preserve">used throughout the Code, </w:t>
      </w:r>
      <w:r>
        <w:t xml:space="preserve">includes definitions of ‘novel food’ and ‘used as a nutritive substance’. </w:t>
      </w:r>
    </w:p>
    <w:p w14:paraId="110DB86D" w14:textId="77777777" w:rsidR="00AA1045" w:rsidRDefault="00AA1045" w:rsidP="001967B9"/>
    <w:p w14:paraId="5668EAF6" w14:textId="77777777" w:rsidR="00AA1045" w:rsidRDefault="001967B9" w:rsidP="001967B9">
      <w:r>
        <w:t>The definition</w:t>
      </w:r>
      <w:r w:rsidR="00AA1045">
        <w:t xml:space="preserve"> of novel food is reproduced below:</w:t>
      </w:r>
    </w:p>
    <w:p w14:paraId="120AD682" w14:textId="77777777" w:rsidR="00AA1045" w:rsidRDefault="00AA1045" w:rsidP="00AA1045"/>
    <w:p w14:paraId="44D3E55C" w14:textId="77777777" w:rsidR="00AA1045" w:rsidRDefault="00AA1045" w:rsidP="00AA1045">
      <w:proofErr w:type="gramStart"/>
      <w:r w:rsidRPr="00AA1045">
        <w:rPr>
          <w:b/>
          <w:i/>
        </w:rPr>
        <w:t>novel</w:t>
      </w:r>
      <w:proofErr w:type="gramEnd"/>
      <w:r w:rsidRPr="00AA1045">
        <w:rPr>
          <w:b/>
          <w:i/>
        </w:rPr>
        <w:t xml:space="preserve"> food</w:t>
      </w:r>
      <w:r>
        <w:t xml:space="preserve"> means a non-traditional food that requires an assessment of the public health and safety considerations having regard to:</w:t>
      </w:r>
    </w:p>
    <w:p w14:paraId="1012D3BD" w14:textId="77777777" w:rsidR="00AA1045" w:rsidRDefault="00AA1045" w:rsidP="00AA1045">
      <w:r>
        <w:tab/>
        <w:t>(a)</w:t>
      </w:r>
      <w:r>
        <w:tab/>
      </w:r>
      <w:proofErr w:type="gramStart"/>
      <w:r>
        <w:t>the</w:t>
      </w:r>
      <w:proofErr w:type="gramEnd"/>
      <w:r>
        <w:t xml:space="preserve"> potential for adverse effects in humans; or</w:t>
      </w:r>
    </w:p>
    <w:p w14:paraId="3D51C0EB" w14:textId="77777777" w:rsidR="00AA1045" w:rsidRDefault="00AA1045" w:rsidP="00AA1045">
      <w:r>
        <w:tab/>
        <w:t>(b)</w:t>
      </w:r>
      <w:r>
        <w:tab/>
      </w:r>
      <w:proofErr w:type="gramStart"/>
      <w:r>
        <w:t>the</w:t>
      </w:r>
      <w:proofErr w:type="gramEnd"/>
      <w:r>
        <w:t xml:space="preserve"> composition or structure of the food; or</w:t>
      </w:r>
    </w:p>
    <w:p w14:paraId="0462C740" w14:textId="77777777" w:rsidR="00AA1045" w:rsidRDefault="00AA1045" w:rsidP="00AA1045">
      <w:r>
        <w:tab/>
        <w:t>(c)</w:t>
      </w:r>
      <w:r>
        <w:tab/>
      </w:r>
      <w:proofErr w:type="gramStart"/>
      <w:r>
        <w:t>the</w:t>
      </w:r>
      <w:proofErr w:type="gramEnd"/>
      <w:r>
        <w:t xml:space="preserve"> process by which the food has been prepared; or</w:t>
      </w:r>
    </w:p>
    <w:p w14:paraId="5C82877D" w14:textId="77777777" w:rsidR="00AA1045" w:rsidRDefault="00AA1045" w:rsidP="00AA1045">
      <w:r>
        <w:tab/>
        <w:t>(d)</w:t>
      </w:r>
      <w:r>
        <w:tab/>
      </w:r>
      <w:proofErr w:type="gramStart"/>
      <w:r>
        <w:t>the</w:t>
      </w:r>
      <w:proofErr w:type="gramEnd"/>
      <w:r>
        <w:t xml:space="preserve"> source from which it is derived; or</w:t>
      </w:r>
    </w:p>
    <w:p w14:paraId="1694AAD1" w14:textId="77777777" w:rsidR="00AA1045" w:rsidRDefault="00AA1045" w:rsidP="00AA1045">
      <w:r>
        <w:tab/>
        <w:t>(e)</w:t>
      </w:r>
      <w:r>
        <w:tab/>
      </w:r>
      <w:proofErr w:type="gramStart"/>
      <w:r>
        <w:t>patterns</w:t>
      </w:r>
      <w:proofErr w:type="gramEnd"/>
      <w:r>
        <w:t xml:space="preserve"> and levels of consumption of the food; or</w:t>
      </w:r>
    </w:p>
    <w:p w14:paraId="6069D6AF" w14:textId="77777777" w:rsidR="00AA1045" w:rsidRDefault="00AA1045" w:rsidP="00AA1045">
      <w:r>
        <w:tab/>
        <w:t>(f)</w:t>
      </w:r>
      <w:r>
        <w:tab/>
      </w:r>
      <w:proofErr w:type="gramStart"/>
      <w:r>
        <w:t>any</w:t>
      </w:r>
      <w:proofErr w:type="gramEnd"/>
      <w:r>
        <w:t xml:space="preserve"> other relevant matters.</w:t>
      </w:r>
    </w:p>
    <w:p w14:paraId="575DF1B5" w14:textId="77777777" w:rsidR="00AA1045" w:rsidRDefault="00AA1045" w:rsidP="00AA1045"/>
    <w:p w14:paraId="4A0E8971" w14:textId="77777777" w:rsidR="00AA1045" w:rsidRDefault="00AA1045" w:rsidP="00AA1045">
      <w:r>
        <w:tab/>
      </w:r>
      <w:r>
        <w:tab/>
      </w:r>
      <w:proofErr w:type="gramStart"/>
      <w:r w:rsidRPr="00AA1045">
        <w:rPr>
          <w:b/>
          <w:i/>
        </w:rPr>
        <w:t>non-traditional</w:t>
      </w:r>
      <w:proofErr w:type="gramEnd"/>
      <w:r w:rsidRPr="00AA1045">
        <w:rPr>
          <w:b/>
          <w:i/>
        </w:rPr>
        <w:t xml:space="preserve"> food</w:t>
      </w:r>
      <w:r>
        <w:t xml:space="preserve"> means:</w:t>
      </w:r>
    </w:p>
    <w:p w14:paraId="2ABB81FA" w14:textId="77777777" w:rsidR="00AA1045" w:rsidRDefault="00AA1045" w:rsidP="00AA1045">
      <w:pPr>
        <w:ind w:left="1134" w:hanging="564"/>
      </w:pPr>
      <w:r>
        <w:t>(a)</w:t>
      </w:r>
      <w:r>
        <w:tab/>
      </w:r>
      <w:proofErr w:type="gramStart"/>
      <w:r>
        <w:t>a</w:t>
      </w:r>
      <w:proofErr w:type="gramEnd"/>
      <w:r>
        <w:t xml:space="preserve"> food that does not have a history of human consumption in Australia or New Zealand; or</w:t>
      </w:r>
    </w:p>
    <w:p w14:paraId="76762A0F" w14:textId="77777777" w:rsidR="00AA1045" w:rsidRDefault="00AA1045" w:rsidP="00AA1045">
      <w:pPr>
        <w:ind w:left="1134" w:hanging="564"/>
      </w:pPr>
      <w:r>
        <w:t>(b)</w:t>
      </w:r>
      <w:r>
        <w:tab/>
        <w:t>a substance derived from a food, where that substance does not have a history of human consumption in Australia or New Zealand other than as a component of that food; or</w:t>
      </w:r>
    </w:p>
    <w:p w14:paraId="2E388447" w14:textId="77777777" w:rsidR="00AA1045" w:rsidRDefault="00AA1045" w:rsidP="00AA1045">
      <w:pPr>
        <w:ind w:left="1134" w:hanging="564"/>
      </w:pPr>
      <w:r>
        <w:t>(c)</w:t>
      </w:r>
      <w:r>
        <w:tab/>
      </w:r>
      <w:proofErr w:type="gramStart"/>
      <w:r>
        <w:t>any</w:t>
      </w:r>
      <w:proofErr w:type="gramEnd"/>
      <w:r>
        <w:t xml:space="preserve"> other substance, where that substance, or the source from which it is derived, does not have a history of human consumption as a food in Australia or New Zealand.</w:t>
      </w:r>
    </w:p>
    <w:p w14:paraId="493750D0" w14:textId="77777777" w:rsidR="00AA1045" w:rsidRDefault="00AA1045" w:rsidP="001967B9"/>
    <w:p w14:paraId="6A241E2A" w14:textId="77777777" w:rsidR="001967B9" w:rsidRDefault="001967B9" w:rsidP="001967B9">
      <w:r>
        <w:t>The definition of ‘used as a nutritive substance’ is reproduced below:</w:t>
      </w:r>
    </w:p>
    <w:p w14:paraId="06A632F6" w14:textId="77777777" w:rsidR="001967B9" w:rsidRDefault="001967B9" w:rsidP="001967B9"/>
    <w:p w14:paraId="30FDCAF4" w14:textId="77777777" w:rsidR="001967B9" w:rsidRPr="00BD6A2F" w:rsidRDefault="001967B9" w:rsidP="001967B9">
      <w:pPr>
        <w:pStyle w:val="FSCtMain"/>
        <w:rPr>
          <w:lang w:val="en-GB"/>
        </w:rPr>
      </w:pPr>
      <w:r w:rsidRPr="00BD6A2F">
        <w:rPr>
          <w:lang w:val="en-GB"/>
        </w:rPr>
        <w:t>(1)</w:t>
      </w:r>
      <w:r w:rsidRPr="00BD6A2F">
        <w:rPr>
          <w:lang w:val="en-GB"/>
        </w:rPr>
        <w:tab/>
        <w:t xml:space="preserve">In this Code, a substance is </w:t>
      </w:r>
      <w:r w:rsidRPr="00BD6A2F">
        <w:rPr>
          <w:b/>
          <w:i/>
          <w:lang w:val="en-GB"/>
        </w:rPr>
        <w:t>used as a</w:t>
      </w:r>
      <w:r w:rsidRPr="00BD6A2F">
        <w:rPr>
          <w:b/>
          <w:lang w:val="en-GB"/>
        </w:rPr>
        <w:t xml:space="preserve"> </w:t>
      </w:r>
      <w:r w:rsidRPr="00BD6A2F">
        <w:rPr>
          <w:b/>
          <w:i/>
          <w:lang w:val="en-GB"/>
        </w:rPr>
        <w:t xml:space="preserve">nutritive substance </w:t>
      </w:r>
      <w:r w:rsidRPr="00BD6A2F">
        <w:rPr>
          <w:lang w:val="en-GB"/>
        </w:rPr>
        <w:t>in relation to a food if it is added to the food:</w:t>
      </w:r>
    </w:p>
    <w:p w14:paraId="135FC657" w14:textId="77777777" w:rsidR="001967B9" w:rsidRDefault="001967B9" w:rsidP="001967B9">
      <w:pPr>
        <w:pStyle w:val="FSCtPara"/>
        <w:rPr>
          <w:lang w:val="en-GB"/>
        </w:rPr>
      </w:pPr>
      <w:r w:rsidRPr="00BD6A2F">
        <w:rPr>
          <w:lang w:val="en-GB"/>
        </w:rPr>
        <w:tab/>
        <w:t>(a)</w:t>
      </w:r>
      <w:r w:rsidRPr="00BD6A2F">
        <w:rPr>
          <w:lang w:val="en-GB"/>
        </w:rPr>
        <w:tab/>
      </w:r>
      <w:proofErr w:type="gramStart"/>
      <w:r w:rsidRPr="00BD6A2F">
        <w:rPr>
          <w:lang w:val="en-GB"/>
        </w:rPr>
        <w:t>to</w:t>
      </w:r>
      <w:proofErr w:type="gramEnd"/>
      <w:r w:rsidRPr="00BD6A2F">
        <w:rPr>
          <w:lang w:val="en-GB"/>
        </w:rPr>
        <w:t xml:space="preserve"> achieve a nutritional purpose; and</w:t>
      </w:r>
    </w:p>
    <w:p w14:paraId="5C48A6F5" w14:textId="77777777" w:rsidR="001967B9" w:rsidRPr="00BD6A2F" w:rsidRDefault="001967B9" w:rsidP="001967B9">
      <w:pPr>
        <w:pStyle w:val="FSCtPara"/>
        <w:rPr>
          <w:lang w:val="en-GB"/>
        </w:rPr>
      </w:pPr>
      <w:r w:rsidRPr="00BD6A2F">
        <w:rPr>
          <w:lang w:val="en-GB"/>
        </w:rPr>
        <w:tab/>
        <w:t>(b)</w:t>
      </w:r>
      <w:r w:rsidRPr="00BD6A2F">
        <w:rPr>
          <w:lang w:val="en-GB"/>
        </w:rPr>
        <w:tab/>
      </w:r>
      <w:proofErr w:type="gramStart"/>
      <w:r w:rsidRPr="00BD6A2F">
        <w:rPr>
          <w:lang w:val="en-GB"/>
        </w:rPr>
        <w:t>it</w:t>
      </w:r>
      <w:proofErr w:type="gramEnd"/>
      <w:r w:rsidRPr="00BD6A2F">
        <w:rPr>
          <w:lang w:val="en-GB"/>
        </w:rPr>
        <w:t xml:space="preserve"> is a substance identified in subsection (2).</w:t>
      </w:r>
    </w:p>
    <w:p w14:paraId="6A39FD69" w14:textId="77777777" w:rsidR="001967B9" w:rsidRPr="00BD6A2F" w:rsidRDefault="001967B9" w:rsidP="001967B9">
      <w:pPr>
        <w:pStyle w:val="FSCtMain"/>
        <w:rPr>
          <w:lang w:val="en-GB"/>
        </w:rPr>
      </w:pPr>
      <w:r w:rsidRPr="00BD6A2F">
        <w:rPr>
          <w:lang w:val="en-GB"/>
        </w:rPr>
        <w:tab/>
        <w:t>(2)</w:t>
      </w:r>
      <w:r w:rsidRPr="00BD6A2F">
        <w:rPr>
          <w:lang w:val="en-GB"/>
        </w:rPr>
        <w:tab/>
        <w:t>For subsection (1), the substances are:</w:t>
      </w:r>
    </w:p>
    <w:p w14:paraId="4DBBA160" w14:textId="77777777" w:rsidR="001967B9" w:rsidRPr="00BD6A2F" w:rsidRDefault="001967B9" w:rsidP="001967B9">
      <w:pPr>
        <w:pStyle w:val="FSCtPara"/>
        <w:rPr>
          <w:lang w:val="en-GB"/>
        </w:rPr>
      </w:pPr>
      <w:r w:rsidRPr="00BD6A2F">
        <w:rPr>
          <w:lang w:val="en-GB"/>
        </w:rPr>
        <w:tab/>
        <w:t>(a)</w:t>
      </w:r>
      <w:r w:rsidRPr="00BD6A2F">
        <w:rPr>
          <w:lang w:val="en-GB"/>
        </w:rPr>
        <w:tab/>
      </w:r>
      <w:proofErr w:type="gramStart"/>
      <w:r w:rsidRPr="00BD6A2F">
        <w:rPr>
          <w:lang w:val="en-GB"/>
        </w:rPr>
        <w:t>any</w:t>
      </w:r>
      <w:proofErr w:type="gramEnd"/>
      <w:r w:rsidRPr="00BD6A2F">
        <w:rPr>
          <w:lang w:val="en-GB"/>
        </w:rPr>
        <w:t xml:space="preserve"> substance that is identified in this Code as one that may be used as a nutritive substance; and</w:t>
      </w:r>
    </w:p>
    <w:p w14:paraId="322ABFDC" w14:textId="77777777" w:rsidR="001967B9" w:rsidRPr="00BD6A2F" w:rsidRDefault="001967B9" w:rsidP="001967B9">
      <w:pPr>
        <w:pStyle w:val="FSCtPara"/>
        <w:rPr>
          <w:lang w:val="en-GB"/>
        </w:rPr>
      </w:pPr>
      <w:r w:rsidRPr="00BD6A2F">
        <w:rPr>
          <w:lang w:val="en-GB"/>
        </w:rPr>
        <w:tab/>
        <w:t>(b)</w:t>
      </w:r>
      <w:r w:rsidRPr="00BD6A2F">
        <w:rPr>
          <w:lang w:val="en-GB"/>
        </w:rPr>
        <w:tab/>
      </w:r>
      <w:proofErr w:type="gramStart"/>
      <w:r w:rsidRPr="00BD6A2F">
        <w:rPr>
          <w:lang w:val="en-GB"/>
        </w:rPr>
        <w:t>a</w:t>
      </w:r>
      <w:proofErr w:type="gramEnd"/>
      <w:r w:rsidRPr="00BD6A2F">
        <w:rPr>
          <w:lang w:val="en-GB"/>
        </w:rPr>
        <w:t xml:space="preserve"> vitamin or a mineral; and</w:t>
      </w:r>
    </w:p>
    <w:p w14:paraId="2D0F288D" w14:textId="77777777" w:rsidR="001967B9" w:rsidRPr="000C708D" w:rsidRDefault="001967B9" w:rsidP="000C708D">
      <w:pPr>
        <w:pStyle w:val="FSCtPara"/>
        <w:rPr>
          <w:lang w:val="en-GB"/>
        </w:rPr>
      </w:pPr>
      <w:r w:rsidRPr="00BD6A2F">
        <w:rPr>
          <w:lang w:val="en-GB"/>
        </w:rPr>
        <w:tab/>
        <w:t>(c)</w:t>
      </w:r>
      <w:r w:rsidRPr="00BD6A2F">
        <w:rPr>
          <w:lang w:val="en-GB"/>
        </w:rPr>
        <w:tab/>
      </w:r>
      <w:proofErr w:type="gramStart"/>
      <w:r w:rsidRPr="00BD6A2F">
        <w:rPr>
          <w:lang w:val="en-GB"/>
        </w:rPr>
        <w:t>any</w:t>
      </w:r>
      <w:proofErr w:type="gramEnd"/>
      <w:r w:rsidRPr="00BD6A2F">
        <w:rPr>
          <w:lang w:val="en-GB"/>
        </w:rPr>
        <w:t xml:space="preserve"> substance (other than an </w:t>
      </w:r>
      <w:proofErr w:type="spellStart"/>
      <w:r w:rsidRPr="00BD6A2F">
        <w:rPr>
          <w:lang w:val="en-GB"/>
        </w:rPr>
        <w:t>inulin</w:t>
      </w:r>
      <w:proofErr w:type="spellEnd"/>
      <w:r w:rsidRPr="00BD6A2F">
        <w:rPr>
          <w:lang w:val="en-GB"/>
        </w:rPr>
        <w:t>-type fructan, a galacto-oligosaccharide or a substance normally consumed as a food) that has been concentrated, refined or synthesised, to achieve a nutritional purpose when added to a food.</w:t>
      </w:r>
    </w:p>
    <w:p w14:paraId="39936398" w14:textId="77777777" w:rsidR="000C708D" w:rsidRPr="000C708D" w:rsidRDefault="000C708D" w:rsidP="000D0DA9">
      <w:pPr>
        <w:pStyle w:val="Heading3"/>
      </w:pPr>
      <w:bookmarkStart w:id="118" w:name="_Toc434396113"/>
      <w:bookmarkStart w:id="119" w:name="_Toc436732731"/>
      <w:bookmarkStart w:id="120" w:name="_Toc436744630"/>
      <w:bookmarkStart w:id="121" w:name="_Toc436754874"/>
      <w:r>
        <w:t>Code permissions for nutritive substances and novel foods</w:t>
      </w:r>
      <w:bookmarkEnd w:id="118"/>
      <w:bookmarkEnd w:id="119"/>
      <w:bookmarkEnd w:id="120"/>
      <w:bookmarkEnd w:id="121"/>
    </w:p>
    <w:p w14:paraId="666084CD" w14:textId="77777777" w:rsidR="008E59A6" w:rsidRDefault="008E59A6" w:rsidP="008E59A6">
      <w:pPr>
        <w:rPr>
          <w:u w:color="FFFF00"/>
        </w:rPr>
      </w:pPr>
      <w:r>
        <w:rPr>
          <w:u w:color="FFFF00"/>
        </w:rPr>
        <w:t>Provided below is a list of the permissions for novel foods</w:t>
      </w:r>
      <w:r w:rsidR="000D6C84">
        <w:rPr>
          <w:u w:color="FFFF00"/>
        </w:rPr>
        <w:t xml:space="preserve">, </w:t>
      </w:r>
      <w:r>
        <w:rPr>
          <w:u w:color="FFFF00"/>
        </w:rPr>
        <w:t xml:space="preserve">nutritive substances </w:t>
      </w:r>
      <w:r w:rsidR="0057134D">
        <w:rPr>
          <w:u w:color="FFFF00"/>
        </w:rPr>
        <w:t xml:space="preserve">(other than vitamins and minerals) and other </w:t>
      </w:r>
      <w:r w:rsidR="000C708D">
        <w:rPr>
          <w:u w:color="FFFF00"/>
        </w:rPr>
        <w:t xml:space="preserve">relevant </w:t>
      </w:r>
      <w:r w:rsidR="0057134D">
        <w:rPr>
          <w:u w:color="FFFF00"/>
        </w:rPr>
        <w:t xml:space="preserve">substances </w:t>
      </w:r>
      <w:r>
        <w:rPr>
          <w:u w:color="FFFF00"/>
        </w:rPr>
        <w:t xml:space="preserve">in the Code. </w:t>
      </w:r>
    </w:p>
    <w:p w14:paraId="1FD38A5C" w14:textId="77777777" w:rsidR="0090250A" w:rsidRDefault="0090250A" w:rsidP="008E59A6">
      <w:pPr>
        <w:rPr>
          <w:u w:color="FFFF00"/>
        </w:rPr>
      </w:pPr>
    </w:p>
    <w:p w14:paraId="2A6AFAAF" w14:textId="77777777" w:rsidR="003B78B6" w:rsidRDefault="003B78B6" w:rsidP="00C900E3">
      <w:pPr>
        <w:pStyle w:val="FSTableTitle"/>
      </w:pPr>
      <w:r>
        <w:br w:type="page"/>
      </w:r>
    </w:p>
    <w:p w14:paraId="116FB5C1" w14:textId="25E1983F" w:rsidR="0090250A" w:rsidRDefault="0090250A" w:rsidP="00C900E3">
      <w:pPr>
        <w:pStyle w:val="FSTableTitle"/>
      </w:pPr>
      <w:r>
        <w:lastRenderedPageBreak/>
        <w:t xml:space="preserve">Table </w:t>
      </w:r>
      <w:r w:rsidR="003B07FB">
        <w:t>D</w:t>
      </w:r>
      <w:r w:rsidR="003B78B6">
        <w:t xml:space="preserve">.1: </w:t>
      </w:r>
      <w:r w:rsidR="00AA1045">
        <w:t>P</w:t>
      </w:r>
      <w:r>
        <w:t xml:space="preserve">ermissions in </w:t>
      </w:r>
      <w:r w:rsidR="008B4835">
        <w:t>the Code</w:t>
      </w:r>
      <w:r>
        <w:t xml:space="preserve"> for novel foods and nutritive </w:t>
      </w:r>
      <w:r w:rsidR="0057134D">
        <w:t xml:space="preserve">and other </w:t>
      </w:r>
      <w:r>
        <w:t>substances</w:t>
      </w:r>
      <w:r w:rsidR="00F16CF4">
        <w:t xml:space="preserve"> </w:t>
      </w:r>
    </w:p>
    <w:p w14:paraId="059C67C9" w14:textId="77777777" w:rsidR="009704A7" w:rsidRPr="009704A7" w:rsidRDefault="009704A7" w:rsidP="009704A7"/>
    <w:tbl>
      <w:tblPr>
        <w:tblStyle w:val="TableGrid"/>
        <w:tblW w:w="0" w:type="auto"/>
        <w:tblLook w:val="04A0" w:firstRow="1" w:lastRow="0" w:firstColumn="1" w:lastColumn="0" w:noHBand="0" w:noVBand="1"/>
      </w:tblPr>
      <w:tblGrid>
        <w:gridCol w:w="4077"/>
        <w:gridCol w:w="2410"/>
        <w:gridCol w:w="2552"/>
      </w:tblGrid>
      <w:tr w:rsidR="00C900E3" w14:paraId="228CAE67" w14:textId="77777777" w:rsidTr="004072BF">
        <w:trPr>
          <w:tblHeader/>
        </w:trPr>
        <w:tc>
          <w:tcPr>
            <w:tcW w:w="4077" w:type="dxa"/>
            <w:shd w:val="clear" w:color="auto" w:fill="C2D69B" w:themeFill="accent3" w:themeFillTint="99"/>
          </w:tcPr>
          <w:p w14:paraId="5C46461C" w14:textId="77777777" w:rsidR="00C900E3" w:rsidRPr="00ED5DCA" w:rsidRDefault="00C900E3" w:rsidP="00C900E3">
            <w:pPr>
              <w:pStyle w:val="FSTableHeading"/>
            </w:pPr>
            <w:r w:rsidRPr="00ED5DCA">
              <w:t>Item</w:t>
            </w:r>
          </w:p>
        </w:tc>
        <w:tc>
          <w:tcPr>
            <w:tcW w:w="2410" w:type="dxa"/>
            <w:shd w:val="clear" w:color="auto" w:fill="C2D69B" w:themeFill="accent3" w:themeFillTint="99"/>
          </w:tcPr>
          <w:p w14:paraId="0EFC93F0" w14:textId="77777777" w:rsidR="00C900E3" w:rsidRPr="00ED5DCA" w:rsidRDefault="00C900E3" w:rsidP="00C900E3">
            <w:pPr>
              <w:pStyle w:val="FSTableHeading"/>
            </w:pPr>
            <w:r w:rsidRPr="00ED5DCA">
              <w:t>Current Code</w:t>
            </w:r>
          </w:p>
        </w:tc>
        <w:tc>
          <w:tcPr>
            <w:tcW w:w="2552" w:type="dxa"/>
            <w:shd w:val="clear" w:color="auto" w:fill="C2D69B" w:themeFill="accent3" w:themeFillTint="99"/>
          </w:tcPr>
          <w:p w14:paraId="0AC42A05" w14:textId="77777777" w:rsidR="00C900E3" w:rsidRPr="00ED5DCA" w:rsidRDefault="00C900E3" w:rsidP="00C900E3">
            <w:pPr>
              <w:pStyle w:val="FSTableHeading"/>
            </w:pPr>
            <w:r w:rsidRPr="00ED5DCA">
              <w:t>Revised Code</w:t>
            </w:r>
          </w:p>
        </w:tc>
      </w:tr>
      <w:tr w:rsidR="00C900E3" w14:paraId="6DFCD40B" w14:textId="77777777" w:rsidTr="004072BF">
        <w:tc>
          <w:tcPr>
            <w:tcW w:w="4077" w:type="dxa"/>
            <w:shd w:val="clear" w:color="auto" w:fill="EAF1DD" w:themeFill="accent3" w:themeFillTint="33"/>
          </w:tcPr>
          <w:p w14:paraId="0A0B5BD2" w14:textId="77777777" w:rsidR="00C900E3" w:rsidRPr="00ED5DCA" w:rsidRDefault="00C900E3" w:rsidP="00C900E3">
            <w:pPr>
              <w:pStyle w:val="FSTableText"/>
            </w:pPr>
            <w:r w:rsidRPr="00ED5DCA">
              <w:t>Permitted novel foods and conditions of use</w:t>
            </w:r>
          </w:p>
        </w:tc>
        <w:tc>
          <w:tcPr>
            <w:tcW w:w="2410" w:type="dxa"/>
            <w:shd w:val="clear" w:color="auto" w:fill="EAF1DD" w:themeFill="accent3" w:themeFillTint="33"/>
          </w:tcPr>
          <w:p w14:paraId="70CE35D1" w14:textId="77777777" w:rsidR="00C900E3" w:rsidRPr="00ED5DCA" w:rsidRDefault="00C900E3" w:rsidP="00C900E3">
            <w:pPr>
              <w:pStyle w:val="FSTableText"/>
            </w:pPr>
            <w:r w:rsidRPr="00ED5DCA">
              <w:t>Table to cl 2 of Std 1.5.1</w:t>
            </w:r>
          </w:p>
        </w:tc>
        <w:tc>
          <w:tcPr>
            <w:tcW w:w="2552" w:type="dxa"/>
            <w:shd w:val="clear" w:color="auto" w:fill="EAF1DD" w:themeFill="accent3" w:themeFillTint="33"/>
          </w:tcPr>
          <w:p w14:paraId="31F38B69" w14:textId="77777777" w:rsidR="00C900E3" w:rsidRPr="00ED5DCA" w:rsidRDefault="00C900E3" w:rsidP="00C900E3">
            <w:pPr>
              <w:pStyle w:val="FSTableText"/>
            </w:pPr>
            <w:r w:rsidRPr="00ED5DCA">
              <w:t>S25</w:t>
            </w:r>
            <w:r>
              <w:t>–</w:t>
            </w:r>
            <w:r w:rsidRPr="00ED5DCA">
              <w:t xml:space="preserve">2 </w:t>
            </w:r>
          </w:p>
          <w:p w14:paraId="673817FB" w14:textId="77777777" w:rsidR="00C900E3" w:rsidRPr="00ED5DCA" w:rsidRDefault="00C900E3" w:rsidP="00C900E3">
            <w:pPr>
              <w:pStyle w:val="FSTableText"/>
            </w:pPr>
          </w:p>
        </w:tc>
      </w:tr>
      <w:tr w:rsidR="00C900E3" w14:paraId="46D02B3C" w14:textId="77777777" w:rsidTr="004072BF">
        <w:tc>
          <w:tcPr>
            <w:tcW w:w="4077" w:type="dxa"/>
            <w:shd w:val="clear" w:color="auto" w:fill="C2D69B" w:themeFill="accent3" w:themeFillTint="99"/>
          </w:tcPr>
          <w:p w14:paraId="175F9E5D" w14:textId="77777777" w:rsidR="00C900E3" w:rsidRPr="00ED5DCA" w:rsidRDefault="00C900E3" w:rsidP="00C900E3">
            <w:pPr>
              <w:pStyle w:val="FSTableText"/>
            </w:pPr>
            <w:r w:rsidRPr="00ED5DCA">
              <w:t>Edible oil spreads and margarine may contain no more than 82 g/kg of total plant sterol equivalents content</w:t>
            </w:r>
          </w:p>
        </w:tc>
        <w:tc>
          <w:tcPr>
            <w:tcW w:w="2410" w:type="dxa"/>
            <w:shd w:val="clear" w:color="auto" w:fill="C2D69B" w:themeFill="accent3" w:themeFillTint="99"/>
          </w:tcPr>
          <w:p w14:paraId="4A4B0CB5" w14:textId="77777777" w:rsidR="00C900E3" w:rsidRPr="00ED5DCA" w:rsidRDefault="00C900E3" w:rsidP="00C900E3">
            <w:pPr>
              <w:pStyle w:val="FSTableText"/>
            </w:pPr>
            <w:r w:rsidRPr="00ED5DCA">
              <w:t xml:space="preserve">Paragraph 2(1)(g) of Std 2.4.2 </w:t>
            </w:r>
          </w:p>
        </w:tc>
        <w:tc>
          <w:tcPr>
            <w:tcW w:w="2552" w:type="dxa"/>
            <w:shd w:val="clear" w:color="auto" w:fill="C2D69B" w:themeFill="accent3" w:themeFillTint="99"/>
          </w:tcPr>
          <w:p w14:paraId="3C335B10" w14:textId="77777777" w:rsidR="00C900E3" w:rsidRPr="00ED5DCA" w:rsidRDefault="00C900E3" w:rsidP="00C900E3">
            <w:pPr>
              <w:pStyle w:val="FSTableText"/>
            </w:pPr>
            <w:r w:rsidRPr="00ED5DCA">
              <w:t>Std 2.4.2</w:t>
            </w:r>
            <w:r>
              <w:t>–</w:t>
            </w:r>
            <w:r w:rsidRPr="00ED5DCA">
              <w:t>2(b)(vii)</w:t>
            </w:r>
          </w:p>
          <w:p w14:paraId="19395074" w14:textId="77777777" w:rsidR="00C900E3" w:rsidRPr="00ED5DCA" w:rsidRDefault="00C900E3" w:rsidP="00C900E3">
            <w:pPr>
              <w:pStyle w:val="FSTableText"/>
            </w:pPr>
          </w:p>
        </w:tc>
      </w:tr>
      <w:tr w:rsidR="00C900E3" w14:paraId="7F398E77" w14:textId="77777777" w:rsidTr="004072BF">
        <w:trPr>
          <w:trHeight w:val="983"/>
        </w:trPr>
        <w:tc>
          <w:tcPr>
            <w:tcW w:w="4077" w:type="dxa"/>
            <w:shd w:val="clear" w:color="auto" w:fill="EAF1DD" w:themeFill="accent3" w:themeFillTint="33"/>
          </w:tcPr>
          <w:p w14:paraId="3B17865F" w14:textId="77777777" w:rsidR="00C900E3" w:rsidRPr="00ED5DCA" w:rsidRDefault="00C900E3" w:rsidP="00C900E3">
            <w:pPr>
              <w:pStyle w:val="FSTableText"/>
            </w:pPr>
            <w:r w:rsidRPr="00ED5DCA">
              <w:t>Conditions for the addition of phytosterols, phytost</w:t>
            </w:r>
            <w:r w:rsidR="004072BF">
              <w:t>anols and their esters to milk</w:t>
            </w:r>
          </w:p>
          <w:p w14:paraId="108AC1BB" w14:textId="77777777" w:rsidR="00C900E3" w:rsidRPr="00ED5DCA" w:rsidRDefault="00C900E3" w:rsidP="00C900E3">
            <w:pPr>
              <w:pStyle w:val="FSTableText"/>
            </w:pPr>
          </w:p>
        </w:tc>
        <w:tc>
          <w:tcPr>
            <w:tcW w:w="2410" w:type="dxa"/>
            <w:shd w:val="clear" w:color="auto" w:fill="EAF1DD" w:themeFill="accent3" w:themeFillTint="33"/>
          </w:tcPr>
          <w:p w14:paraId="3636E6E5" w14:textId="77777777" w:rsidR="00C900E3" w:rsidRPr="00ED5DCA" w:rsidRDefault="00C900E3" w:rsidP="00C900E3">
            <w:pPr>
              <w:pStyle w:val="FSTableText"/>
            </w:pPr>
            <w:r w:rsidRPr="00ED5DCA">
              <w:t>Cl 5 of Std 2.5.1.</w:t>
            </w:r>
          </w:p>
          <w:p w14:paraId="7344AF5D" w14:textId="77777777" w:rsidR="00C900E3" w:rsidRPr="00ED5DCA" w:rsidRDefault="00C900E3" w:rsidP="00C900E3">
            <w:pPr>
              <w:pStyle w:val="FSTableText"/>
            </w:pPr>
          </w:p>
        </w:tc>
        <w:tc>
          <w:tcPr>
            <w:tcW w:w="2552" w:type="dxa"/>
            <w:shd w:val="clear" w:color="auto" w:fill="EAF1DD" w:themeFill="accent3" w:themeFillTint="33"/>
          </w:tcPr>
          <w:p w14:paraId="2D086A43" w14:textId="77777777" w:rsidR="00C900E3" w:rsidRPr="00ED5DCA" w:rsidRDefault="00C900E3" w:rsidP="00C900E3">
            <w:pPr>
              <w:pStyle w:val="FSTableText"/>
            </w:pPr>
            <w:r w:rsidRPr="00ED5DCA">
              <w:t>Std 2.5.1</w:t>
            </w:r>
            <w:r>
              <w:t>–</w:t>
            </w:r>
            <w:r w:rsidRPr="00ED5DCA">
              <w:t xml:space="preserve">6 </w:t>
            </w:r>
          </w:p>
          <w:p w14:paraId="36E16056" w14:textId="77777777" w:rsidR="00C900E3" w:rsidRPr="00ED5DCA" w:rsidRDefault="00C900E3" w:rsidP="00C900E3">
            <w:pPr>
              <w:pStyle w:val="FSTableText"/>
            </w:pPr>
          </w:p>
        </w:tc>
      </w:tr>
      <w:tr w:rsidR="00C900E3" w14:paraId="1419161C" w14:textId="77777777" w:rsidTr="004072BF">
        <w:tc>
          <w:tcPr>
            <w:tcW w:w="4077" w:type="dxa"/>
            <w:shd w:val="clear" w:color="auto" w:fill="C2D69B" w:themeFill="accent3" w:themeFillTint="99"/>
          </w:tcPr>
          <w:p w14:paraId="5E1B7985" w14:textId="77777777" w:rsidR="00C900E3" w:rsidRPr="00ED5DCA" w:rsidRDefault="00C900E3" w:rsidP="00C900E3">
            <w:pPr>
              <w:pStyle w:val="FSTableText"/>
            </w:pPr>
            <w:r w:rsidRPr="00ED5DCA">
              <w:t xml:space="preserve">Conditions for the addition of phytosterols, phytostanols and their esters to yoghurt. </w:t>
            </w:r>
          </w:p>
        </w:tc>
        <w:tc>
          <w:tcPr>
            <w:tcW w:w="2410" w:type="dxa"/>
            <w:shd w:val="clear" w:color="auto" w:fill="C2D69B" w:themeFill="accent3" w:themeFillTint="99"/>
          </w:tcPr>
          <w:p w14:paraId="5F11BAC2" w14:textId="77777777" w:rsidR="00C900E3" w:rsidRPr="00ED5DCA" w:rsidRDefault="00C900E3" w:rsidP="00C900E3">
            <w:pPr>
              <w:pStyle w:val="FSTableText"/>
            </w:pPr>
            <w:r w:rsidRPr="00ED5DCA">
              <w:t>Cl 4 of Std 2.5.3.</w:t>
            </w:r>
          </w:p>
          <w:p w14:paraId="46367D57" w14:textId="77777777" w:rsidR="00C900E3" w:rsidRPr="00ED5DCA" w:rsidRDefault="00C900E3" w:rsidP="00C900E3">
            <w:pPr>
              <w:pStyle w:val="FSTableText"/>
            </w:pPr>
          </w:p>
        </w:tc>
        <w:tc>
          <w:tcPr>
            <w:tcW w:w="2552" w:type="dxa"/>
            <w:shd w:val="clear" w:color="auto" w:fill="C2D69B" w:themeFill="accent3" w:themeFillTint="99"/>
          </w:tcPr>
          <w:p w14:paraId="33735CC8" w14:textId="77777777" w:rsidR="00C900E3" w:rsidRPr="00ED5DCA" w:rsidRDefault="00C900E3" w:rsidP="00C900E3">
            <w:pPr>
              <w:pStyle w:val="FSTableText"/>
            </w:pPr>
            <w:r w:rsidRPr="00ED5DCA">
              <w:t>Std 2.5.3</w:t>
            </w:r>
            <w:r>
              <w:t>–</w:t>
            </w:r>
            <w:r w:rsidRPr="00ED5DCA">
              <w:t xml:space="preserve">5 </w:t>
            </w:r>
          </w:p>
          <w:p w14:paraId="6BBB26E4" w14:textId="77777777" w:rsidR="00C900E3" w:rsidRPr="00ED5DCA" w:rsidRDefault="00C900E3" w:rsidP="00C900E3">
            <w:pPr>
              <w:pStyle w:val="FSTableText"/>
            </w:pPr>
            <w:r w:rsidRPr="00ED5DCA">
              <w:t>.</w:t>
            </w:r>
          </w:p>
          <w:p w14:paraId="05CFE88D" w14:textId="77777777" w:rsidR="00C900E3" w:rsidRPr="00ED5DCA" w:rsidRDefault="00C900E3" w:rsidP="00C900E3">
            <w:pPr>
              <w:pStyle w:val="FSTableText"/>
            </w:pPr>
          </w:p>
        </w:tc>
      </w:tr>
      <w:tr w:rsidR="00C900E3" w14:paraId="7B31FAF3" w14:textId="77777777" w:rsidTr="004072BF">
        <w:tc>
          <w:tcPr>
            <w:tcW w:w="4077" w:type="dxa"/>
            <w:shd w:val="clear" w:color="auto" w:fill="EAF1DD" w:themeFill="accent3" w:themeFillTint="33"/>
          </w:tcPr>
          <w:p w14:paraId="2171DC15" w14:textId="77777777" w:rsidR="00C900E3" w:rsidRPr="00ED5DCA" w:rsidRDefault="00C900E3" w:rsidP="00C900E3">
            <w:pPr>
              <w:pStyle w:val="FSTableText"/>
            </w:pPr>
            <w:r w:rsidRPr="00ED5DCA">
              <w:t xml:space="preserve">Conditions for the addition of tall oil phytosterol esters to cheese and processed cheese </w:t>
            </w:r>
          </w:p>
        </w:tc>
        <w:tc>
          <w:tcPr>
            <w:tcW w:w="2410" w:type="dxa"/>
            <w:shd w:val="clear" w:color="auto" w:fill="EAF1DD" w:themeFill="accent3" w:themeFillTint="33"/>
          </w:tcPr>
          <w:p w14:paraId="2814D60A" w14:textId="77777777" w:rsidR="00C900E3" w:rsidRPr="00ED5DCA" w:rsidRDefault="00C900E3" w:rsidP="00C900E3">
            <w:pPr>
              <w:pStyle w:val="FSTableText"/>
            </w:pPr>
            <w:r w:rsidRPr="00ED5DCA">
              <w:t xml:space="preserve">Cl 3 of Std 2.5.4 </w:t>
            </w:r>
          </w:p>
          <w:p w14:paraId="42641141" w14:textId="77777777" w:rsidR="00C900E3" w:rsidRPr="00ED5DCA" w:rsidRDefault="00C900E3" w:rsidP="00C900E3">
            <w:pPr>
              <w:pStyle w:val="FSTableText"/>
            </w:pPr>
          </w:p>
        </w:tc>
        <w:tc>
          <w:tcPr>
            <w:tcW w:w="2552" w:type="dxa"/>
            <w:shd w:val="clear" w:color="auto" w:fill="EAF1DD" w:themeFill="accent3" w:themeFillTint="33"/>
          </w:tcPr>
          <w:p w14:paraId="13F6B95E" w14:textId="77777777" w:rsidR="00C900E3" w:rsidRPr="00ED5DCA" w:rsidRDefault="00C900E3" w:rsidP="00C900E3">
            <w:pPr>
              <w:pStyle w:val="FSTableText"/>
            </w:pPr>
            <w:r w:rsidRPr="00ED5DCA">
              <w:t>Std 2.5.4</w:t>
            </w:r>
            <w:r>
              <w:t>–</w:t>
            </w:r>
            <w:r w:rsidRPr="00ED5DCA">
              <w:t>4</w:t>
            </w:r>
          </w:p>
        </w:tc>
      </w:tr>
      <w:tr w:rsidR="00C900E3" w14:paraId="7A1BB0EA" w14:textId="77777777" w:rsidTr="004072BF">
        <w:tc>
          <w:tcPr>
            <w:tcW w:w="4077" w:type="dxa"/>
            <w:shd w:val="clear" w:color="auto" w:fill="C2D69B" w:themeFill="accent3" w:themeFillTint="99"/>
          </w:tcPr>
          <w:p w14:paraId="47753822" w14:textId="77777777" w:rsidR="00C900E3" w:rsidRPr="00ED5DCA" w:rsidRDefault="00C900E3" w:rsidP="00C900E3">
            <w:pPr>
              <w:pStyle w:val="FSTableText"/>
            </w:pPr>
            <w:r w:rsidRPr="00ED5DCA">
              <w:t xml:space="preserve">Permission to add lutein from </w:t>
            </w:r>
            <w:r w:rsidRPr="00ED5DCA">
              <w:rPr>
                <w:i/>
              </w:rPr>
              <w:t>Tagetes erecta L.</w:t>
            </w:r>
            <w:r w:rsidRPr="00ED5DCA">
              <w:t xml:space="preserve"> to formulated supplementary foods for y</w:t>
            </w:r>
            <w:r w:rsidR="004072BF">
              <w:t>oung children (with conditions)</w:t>
            </w:r>
            <w:r w:rsidRPr="00ED5DCA">
              <w:t xml:space="preserve"> </w:t>
            </w:r>
          </w:p>
        </w:tc>
        <w:tc>
          <w:tcPr>
            <w:tcW w:w="2410" w:type="dxa"/>
            <w:shd w:val="clear" w:color="auto" w:fill="C2D69B" w:themeFill="accent3" w:themeFillTint="99"/>
          </w:tcPr>
          <w:p w14:paraId="76F753EE" w14:textId="77777777" w:rsidR="00C900E3" w:rsidRPr="00ED5DCA" w:rsidRDefault="00C900E3" w:rsidP="00C900E3">
            <w:pPr>
              <w:pStyle w:val="FSTableText"/>
            </w:pPr>
            <w:r w:rsidRPr="00ED5DCA">
              <w:t xml:space="preserve">Cl 6A of Std 2.9.3 </w:t>
            </w:r>
          </w:p>
          <w:p w14:paraId="095BBAAA" w14:textId="77777777" w:rsidR="00C900E3" w:rsidRPr="00ED5DCA" w:rsidRDefault="00C900E3" w:rsidP="00C900E3">
            <w:pPr>
              <w:pStyle w:val="FSTableText"/>
            </w:pPr>
          </w:p>
        </w:tc>
        <w:tc>
          <w:tcPr>
            <w:tcW w:w="2552" w:type="dxa"/>
            <w:shd w:val="clear" w:color="auto" w:fill="C2D69B" w:themeFill="accent3" w:themeFillTint="99"/>
          </w:tcPr>
          <w:p w14:paraId="1F14C023" w14:textId="77777777" w:rsidR="00C900E3" w:rsidRPr="00ED5DCA" w:rsidRDefault="00C900E3" w:rsidP="00C900E3">
            <w:pPr>
              <w:pStyle w:val="FSTableText"/>
            </w:pPr>
            <w:r w:rsidRPr="00ED5DCA">
              <w:t>Std 2.9.3, Division 4,  – 7 (4)</w:t>
            </w:r>
          </w:p>
        </w:tc>
      </w:tr>
      <w:tr w:rsidR="00C900E3" w14:paraId="02ABC72A" w14:textId="77777777" w:rsidTr="004072BF">
        <w:tc>
          <w:tcPr>
            <w:tcW w:w="4077" w:type="dxa"/>
            <w:shd w:val="clear" w:color="auto" w:fill="EAF1DD" w:themeFill="accent3" w:themeFillTint="33"/>
          </w:tcPr>
          <w:p w14:paraId="135EF5AD" w14:textId="77777777" w:rsidR="00C900E3" w:rsidRPr="00ED5DCA" w:rsidRDefault="00C900E3" w:rsidP="00C900E3">
            <w:pPr>
              <w:pStyle w:val="FSTableText"/>
            </w:pPr>
            <w:r w:rsidRPr="00ED5DCA">
              <w:t>Conditions for the addition of fluoride to packaged water</w:t>
            </w:r>
          </w:p>
        </w:tc>
        <w:tc>
          <w:tcPr>
            <w:tcW w:w="2410" w:type="dxa"/>
            <w:shd w:val="clear" w:color="auto" w:fill="EAF1DD" w:themeFill="accent3" w:themeFillTint="33"/>
          </w:tcPr>
          <w:p w14:paraId="3D039A48" w14:textId="77777777" w:rsidR="00C900E3" w:rsidRPr="00ED5DCA" w:rsidRDefault="00C900E3" w:rsidP="00C900E3">
            <w:pPr>
              <w:pStyle w:val="FSTableText"/>
            </w:pPr>
            <w:r w:rsidRPr="00ED5DCA">
              <w:t xml:space="preserve">Cl 2A of Std 2.6.2 </w:t>
            </w:r>
          </w:p>
        </w:tc>
        <w:tc>
          <w:tcPr>
            <w:tcW w:w="2552" w:type="dxa"/>
            <w:shd w:val="clear" w:color="auto" w:fill="EAF1DD" w:themeFill="accent3" w:themeFillTint="33"/>
          </w:tcPr>
          <w:p w14:paraId="4E428AFB" w14:textId="77777777" w:rsidR="00C900E3" w:rsidRPr="00ED5DCA" w:rsidRDefault="00C900E3" w:rsidP="00C900E3">
            <w:pPr>
              <w:pStyle w:val="FSTableText"/>
            </w:pPr>
            <w:r w:rsidRPr="00ED5DCA">
              <w:t xml:space="preserve"> Std 2.6.2</w:t>
            </w:r>
            <w:r>
              <w:t>–</w:t>
            </w:r>
            <w:r w:rsidRPr="00ED5DCA">
              <w:t xml:space="preserve">4 </w:t>
            </w:r>
          </w:p>
          <w:p w14:paraId="69DA9C51" w14:textId="77777777" w:rsidR="00C900E3" w:rsidRPr="00ED5DCA" w:rsidRDefault="00C900E3" w:rsidP="00C900E3">
            <w:pPr>
              <w:pStyle w:val="FSTableText"/>
            </w:pPr>
          </w:p>
        </w:tc>
      </w:tr>
      <w:tr w:rsidR="00C900E3" w14:paraId="4CA0DD10" w14:textId="77777777" w:rsidTr="004072BF">
        <w:tc>
          <w:tcPr>
            <w:tcW w:w="4077" w:type="dxa"/>
            <w:shd w:val="clear" w:color="auto" w:fill="C2D69B" w:themeFill="accent3" w:themeFillTint="99"/>
          </w:tcPr>
          <w:p w14:paraId="130453C7" w14:textId="77777777" w:rsidR="00C900E3" w:rsidRPr="0057134D" w:rsidRDefault="00C900E3" w:rsidP="00C900E3">
            <w:pPr>
              <w:pStyle w:val="FSTableText"/>
            </w:pPr>
            <w:r w:rsidRPr="0057134D">
              <w:t xml:space="preserve">Conditions for the addition of caffeine to a formulated caffeinated beverage. </w:t>
            </w:r>
          </w:p>
        </w:tc>
        <w:tc>
          <w:tcPr>
            <w:tcW w:w="2410" w:type="dxa"/>
            <w:shd w:val="clear" w:color="auto" w:fill="C2D69B" w:themeFill="accent3" w:themeFillTint="99"/>
          </w:tcPr>
          <w:p w14:paraId="280EB1A5" w14:textId="77777777" w:rsidR="00C900E3" w:rsidRPr="0057134D" w:rsidRDefault="00C900E3" w:rsidP="00C900E3">
            <w:pPr>
              <w:pStyle w:val="FSTableText"/>
              <w:rPr>
                <w:highlight w:val="cyan"/>
              </w:rPr>
            </w:pPr>
            <w:r w:rsidRPr="0057134D">
              <w:t xml:space="preserve">Subclause 2(1) of Std 2.6.4 </w:t>
            </w:r>
          </w:p>
          <w:p w14:paraId="56C1C1D5" w14:textId="77777777" w:rsidR="00C900E3" w:rsidRPr="0057134D" w:rsidRDefault="00C900E3" w:rsidP="00C900E3">
            <w:pPr>
              <w:pStyle w:val="FSTableText"/>
            </w:pPr>
          </w:p>
        </w:tc>
        <w:tc>
          <w:tcPr>
            <w:tcW w:w="2552" w:type="dxa"/>
            <w:shd w:val="clear" w:color="auto" w:fill="C2D69B" w:themeFill="accent3" w:themeFillTint="99"/>
          </w:tcPr>
          <w:p w14:paraId="6235FFBD" w14:textId="77777777" w:rsidR="00C900E3" w:rsidRPr="0057134D" w:rsidRDefault="00C900E3" w:rsidP="00C900E3">
            <w:pPr>
              <w:pStyle w:val="FSTableText"/>
            </w:pPr>
            <w:r w:rsidRPr="0057134D">
              <w:t>Std 2.6.4</w:t>
            </w:r>
            <w:r>
              <w:t>–</w:t>
            </w:r>
            <w:r w:rsidRPr="0057134D">
              <w:t xml:space="preserve">3 (a) </w:t>
            </w:r>
          </w:p>
        </w:tc>
      </w:tr>
      <w:tr w:rsidR="00C900E3" w14:paraId="42D27BFD" w14:textId="77777777" w:rsidTr="004072BF">
        <w:tc>
          <w:tcPr>
            <w:tcW w:w="4077" w:type="dxa"/>
            <w:shd w:val="clear" w:color="auto" w:fill="EAF1DD" w:themeFill="accent3" w:themeFillTint="33"/>
          </w:tcPr>
          <w:p w14:paraId="524D7BC3" w14:textId="77777777" w:rsidR="00C900E3" w:rsidRPr="00ED5DCA" w:rsidRDefault="00C900E3" w:rsidP="00C900E3">
            <w:pPr>
              <w:pStyle w:val="FSTableText"/>
            </w:pPr>
            <w:r w:rsidRPr="00ED5DCA">
              <w:t>Formulated Caffeinated Beverages - Permitted</w:t>
            </w:r>
            <w:r>
              <w:rPr>
                <w:rStyle w:val="FootnoteReference"/>
                <w:szCs w:val="22"/>
              </w:rPr>
              <w:footnoteReference w:id="18"/>
            </w:r>
            <w:r w:rsidRPr="00ED5DCA">
              <w:t xml:space="preserve"> ‘substances’ (e.g. taurine, glucuronolactone and inositol), (with conditions)</w:t>
            </w:r>
          </w:p>
        </w:tc>
        <w:tc>
          <w:tcPr>
            <w:tcW w:w="2410" w:type="dxa"/>
            <w:shd w:val="clear" w:color="auto" w:fill="EAF1DD" w:themeFill="accent3" w:themeFillTint="33"/>
          </w:tcPr>
          <w:p w14:paraId="0191D697" w14:textId="77777777" w:rsidR="00C900E3" w:rsidRPr="00ED5DCA" w:rsidRDefault="00C900E3" w:rsidP="00C900E3">
            <w:pPr>
              <w:pStyle w:val="FSTableText"/>
            </w:pPr>
            <w:r w:rsidRPr="00ED5DCA">
              <w:t>Table to subclause 2(2) of Std 2.6.4</w:t>
            </w:r>
          </w:p>
        </w:tc>
        <w:tc>
          <w:tcPr>
            <w:tcW w:w="2552" w:type="dxa"/>
            <w:shd w:val="clear" w:color="auto" w:fill="EAF1DD" w:themeFill="accent3" w:themeFillTint="33"/>
          </w:tcPr>
          <w:p w14:paraId="52E1FDCD" w14:textId="77777777" w:rsidR="00C900E3" w:rsidRPr="00ED5DCA" w:rsidRDefault="00C900E3" w:rsidP="00C900E3">
            <w:pPr>
              <w:pStyle w:val="FSTableText"/>
            </w:pPr>
            <w:r w:rsidRPr="00ED5DCA">
              <w:t>Std 2.6.4</w:t>
            </w:r>
            <w:r>
              <w:t>–</w:t>
            </w:r>
            <w:r w:rsidRPr="00ED5DCA">
              <w:t>3(b) permission to add ‘substances’ to FCB’s. S28</w:t>
            </w:r>
            <w:r>
              <w:t>–</w:t>
            </w:r>
            <w:r w:rsidRPr="00ED5DCA">
              <w:t xml:space="preserve">2, table provides a list of those listed substances (with conditions) </w:t>
            </w:r>
          </w:p>
        </w:tc>
      </w:tr>
      <w:tr w:rsidR="00C900E3" w14:paraId="240BAC5B" w14:textId="77777777" w:rsidTr="004072BF">
        <w:tc>
          <w:tcPr>
            <w:tcW w:w="4077" w:type="dxa"/>
            <w:shd w:val="clear" w:color="auto" w:fill="C2D69B" w:themeFill="accent3" w:themeFillTint="99"/>
          </w:tcPr>
          <w:p w14:paraId="1FEB6809" w14:textId="77777777" w:rsidR="00C900E3" w:rsidRDefault="00C900E3" w:rsidP="00C900E3">
            <w:pPr>
              <w:pStyle w:val="FSTableText"/>
            </w:pPr>
            <w:r>
              <w:t xml:space="preserve">Permissions to add </w:t>
            </w:r>
            <w:r w:rsidRPr="000C708D">
              <w:t>inulin-type fructans and</w:t>
            </w:r>
            <w:r w:rsidRPr="005F3B15">
              <w:t xml:space="preserve"> galacto-oligosaccharides (with conditions) to formulated supplementary foods for young children</w:t>
            </w:r>
          </w:p>
        </w:tc>
        <w:tc>
          <w:tcPr>
            <w:tcW w:w="2410" w:type="dxa"/>
            <w:shd w:val="clear" w:color="auto" w:fill="C2D69B" w:themeFill="accent3" w:themeFillTint="99"/>
          </w:tcPr>
          <w:p w14:paraId="2502F3EB" w14:textId="77777777" w:rsidR="00C900E3" w:rsidRDefault="00C900E3" w:rsidP="00C900E3">
            <w:pPr>
              <w:pStyle w:val="FSTableText"/>
            </w:pPr>
            <w:r w:rsidRPr="005F3B15">
              <w:t xml:space="preserve">Subclause 6(4) of Std 2.9.3 </w:t>
            </w:r>
          </w:p>
        </w:tc>
        <w:tc>
          <w:tcPr>
            <w:tcW w:w="2552" w:type="dxa"/>
            <w:shd w:val="clear" w:color="auto" w:fill="C2D69B" w:themeFill="accent3" w:themeFillTint="99"/>
          </w:tcPr>
          <w:p w14:paraId="7D543F41" w14:textId="77777777" w:rsidR="00C900E3" w:rsidRDefault="00C900E3" w:rsidP="00C900E3">
            <w:pPr>
              <w:pStyle w:val="FSTableText"/>
            </w:pPr>
            <w:r w:rsidRPr="00ED5DCA">
              <w:t>Std 2.9.3</w:t>
            </w:r>
            <w:r>
              <w:t>–</w:t>
            </w:r>
            <w:r w:rsidRPr="00ED5DCA">
              <w:t xml:space="preserve">7(3) </w:t>
            </w:r>
          </w:p>
        </w:tc>
      </w:tr>
      <w:tr w:rsidR="00C900E3" w:rsidRPr="00ED5DCA" w14:paraId="56348F5B" w14:textId="77777777" w:rsidTr="004072BF">
        <w:tc>
          <w:tcPr>
            <w:tcW w:w="4077" w:type="dxa"/>
            <w:shd w:val="clear" w:color="auto" w:fill="EAF1DD" w:themeFill="accent3" w:themeFillTint="33"/>
          </w:tcPr>
          <w:p w14:paraId="6EDFEFC1" w14:textId="77777777" w:rsidR="00C900E3" w:rsidRDefault="00C900E3" w:rsidP="00C900E3">
            <w:pPr>
              <w:pStyle w:val="FSTableText"/>
            </w:pPr>
            <w:r>
              <w:t>P</w:t>
            </w:r>
            <w:r w:rsidRPr="00911A66">
              <w:t>ermission to add specified amino acids to formulated suppl</w:t>
            </w:r>
            <w:r>
              <w:t>ementary sports foods, (with conditions)</w:t>
            </w:r>
          </w:p>
        </w:tc>
        <w:tc>
          <w:tcPr>
            <w:tcW w:w="2410" w:type="dxa"/>
            <w:shd w:val="clear" w:color="auto" w:fill="EAF1DD" w:themeFill="accent3" w:themeFillTint="33"/>
          </w:tcPr>
          <w:p w14:paraId="1FFDB102" w14:textId="77777777" w:rsidR="00C900E3" w:rsidRDefault="00C900E3" w:rsidP="00C900E3">
            <w:pPr>
              <w:pStyle w:val="FSTableText"/>
            </w:pPr>
            <w:r w:rsidRPr="00911A66">
              <w:t xml:space="preserve">Paragraph 2(b) of Std 2.9.4 </w:t>
            </w:r>
          </w:p>
        </w:tc>
        <w:tc>
          <w:tcPr>
            <w:tcW w:w="2552" w:type="dxa"/>
            <w:shd w:val="clear" w:color="auto" w:fill="EAF1DD" w:themeFill="accent3" w:themeFillTint="33"/>
          </w:tcPr>
          <w:p w14:paraId="627C50CC" w14:textId="77777777" w:rsidR="00C900E3" w:rsidRPr="00ED5DCA" w:rsidRDefault="00C900E3" w:rsidP="00C900E3">
            <w:pPr>
              <w:pStyle w:val="FSTableText"/>
            </w:pPr>
            <w:r w:rsidRPr="00ED5DCA">
              <w:t>Std 2.9.4</w:t>
            </w:r>
            <w:r>
              <w:t>–</w:t>
            </w:r>
            <w:r w:rsidRPr="00ED5DCA">
              <w:t>3(1</w:t>
            </w:r>
            <w:proofErr w:type="gramStart"/>
            <w:r w:rsidRPr="00ED5DCA">
              <w:t>)(</w:t>
            </w:r>
            <w:proofErr w:type="gramEnd"/>
            <w:r w:rsidRPr="00ED5DCA">
              <w:t>b) permission to add.  S29</w:t>
            </w:r>
            <w:r>
              <w:t>–</w:t>
            </w:r>
            <w:r w:rsidRPr="00ED5DCA">
              <w:t xml:space="preserve">18 lists the amino acids which can be added (with conditions). </w:t>
            </w:r>
          </w:p>
        </w:tc>
      </w:tr>
      <w:tr w:rsidR="00C900E3" w:rsidRPr="00ED5DCA" w14:paraId="4AE5FAFB" w14:textId="77777777" w:rsidTr="004072BF">
        <w:tc>
          <w:tcPr>
            <w:tcW w:w="4077" w:type="dxa"/>
            <w:shd w:val="clear" w:color="auto" w:fill="C2D69B" w:themeFill="accent3" w:themeFillTint="99"/>
          </w:tcPr>
          <w:p w14:paraId="396C6974" w14:textId="77777777" w:rsidR="00C900E3" w:rsidRDefault="00C900E3" w:rsidP="00C900E3">
            <w:pPr>
              <w:pStyle w:val="FSTableText"/>
            </w:pPr>
            <w:r>
              <w:t>P</w:t>
            </w:r>
            <w:r w:rsidRPr="00D70337">
              <w:t xml:space="preserve">ermission to add specified ‘ingredients’ (e.g. L-carnitine, choline, creatine, gamma-oryzinol) to formulated supplementary sports foods, </w:t>
            </w:r>
            <w:r>
              <w:t>(with conditions)</w:t>
            </w:r>
          </w:p>
        </w:tc>
        <w:tc>
          <w:tcPr>
            <w:tcW w:w="2410" w:type="dxa"/>
            <w:shd w:val="clear" w:color="auto" w:fill="C2D69B" w:themeFill="accent3" w:themeFillTint="99"/>
          </w:tcPr>
          <w:p w14:paraId="0F16675A" w14:textId="77777777" w:rsidR="00C900E3" w:rsidRPr="004D5EEB" w:rsidRDefault="00C900E3" w:rsidP="00C900E3">
            <w:pPr>
              <w:pStyle w:val="FSTableText"/>
              <w:rPr>
                <w:highlight w:val="cyan"/>
              </w:rPr>
            </w:pPr>
            <w:r w:rsidRPr="00D70337">
              <w:t>Paragraph 2(c) of Std 2.</w:t>
            </w:r>
            <w:r>
              <w:t>9.4</w:t>
            </w:r>
            <w:r>
              <w:rPr>
                <w:color w:val="7030A0"/>
              </w:rPr>
              <w:t xml:space="preserve"> </w:t>
            </w:r>
          </w:p>
          <w:p w14:paraId="6987A3DC" w14:textId="77777777" w:rsidR="00C900E3" w:rsidRDefault="00C900E3" w:rsidP="00C900E3">
            <w:pPr>
              <w:pStyle w:val="FSTableText"/>
            </w:pPr>
          </w:p>
        </w:tc>
        <w:tc>
          <w:tcPr>
            <w:tcW w:w="2552" w:type="dxa"/>
            <w:shd w:val="clear" w:color="auto" w:fill="C2D69B" w:themeFill="accent3" w:themeFillTint="99"/>
          </w:tcPr>
          <w:p w14:paraId="13A629A8" w14:textId="77777777" w:rsidR="00C900E3" w:rsidRPr="00ED5DCA" w:rsidRDefault="00C900E3" w:rsidP="00C900E3">
            <w:pPr>
              <w:pStyle w:val="FSTableText"/>
            </w:pPr>
            <w:r w:rsidRPr="00ED5DCA">
              <w:t>Std 2.9.4</w:t>
            </w:r>
            <w:r>
              <w:t>–</w:t>
            </w:r>
            <w:r w:rsidRPr="00ED5DCA">
              <w:t>3(1</w:t>
            </w:r>
            <w:proofErr w:type="gramStart"/>
            <w:r w:rsidRPr="00ED5DCA">
              <w:t>)(</w:t>
            </w:r>
            <w:proofErr w:type="gramEnd"/>
            <w:r w:rsidRPr="00ED5DCA">
              <w:t>c) permission to add.  S29</w:t>
            </w:r>
            <w:r>
              <w:t>–</w:t>
            </w:r>
            <w:r w:rsidRPr="00ED5DCA">
              <w:t xml:space="preserve">19 lists the permitted other substances (with conditions). </w:t>
            </w:r>
          </w:p>
          <w:p w14:paraId="6898D9BC" w14:textId="77777777" w:rsidR="00C900E3" w:rsidRPr="00ED5DCA" w:rsidRDefault="00C900E3" w:rsidP="00C900E3">
            <w:pPr>
              <w:pStyle w:val="FSTableText"/>
            </w:pPr>
          </w:p>
        </w:tc>
      </w:tr>
      <w:tr w:rsidR="00C900E3" w:rsidRPr="00ED5DCA" w14:paraId="07A49BA6" w14:textId="77777777" w:rsidTr="004072BF">
        <w:tc>
          <w:tcPr>
            <w:tcW w:w="4077" w:type="dxa"/>
            <w:shd w:val="clear" w:color="auto" w:fill="EAF1DD" w:themeFill="accent3" w:themeFillTint="33"/>
          </w:tcPr>
          <w:p w14:paraId="73DA486C" w14:textId="77777777" w:rsidR="00C900E3" w:rsidRDefault="00C900E3" w:rsidP="00C900E3">
            <w:pPr>
              <w:pStyle w:val="FSTableText"/>
            </w:pPr>
            <w:r>
              <w:t xml:space="preserve">Permission to add </w:t>
            </w:r>
            <w:r w:rsidRPr="00982226">
              <w:t>substances(e.g. amino acids, L-carnitine, choline, inositol, taurine, nucleotides) and other substances regardless of their form, subject to the requirements of any Standard that applies to the substance or the food for special medical purposes</w:t>
            </w:r>
          </w:p>
        </w:tc>
        <w:tc>
          <w:tcPr>
            <w:tcW w:w="2410" w:type="dxa"/>
            <w:shd w:val="clear" w:color="auto" w:fill="EAF1DD" w:themeFill="accent3" w:themeFillTint="33"/>
          </w:tcPr>
          <w:p w14:paraId="18193DE4" w14:textId="77777777" w:rsidR="00C900E3" w:rsidRDefault="00C900E3" w:rsidP="00C900E3">
            <w:pPr>
              <w:pStyle w:val="FSTableText"/>
            </w:pPr>
            <w:r w:rsidRPr="00982226">
              <w:t>Paragraph 6(1)</w:t>
            </w:r>
            <w:r>
              <w:t xml:space="preserve"> </w:t>
            </w:r>
            <w:r w:rsidRPr="00982226">
              <w:t>of Std 2.9.5</w:t>
            </w:r>
          </w:p>
        </w:tc>
        <w:tc>
          <w:tcPr>
            <w:tcW w:w="2552" w:type="dxa"/>
            <w:shd w:val="clear" w:color="auto" w:fill="EAF1DD" w:themeFill="accent3" w:themeFillTint="33"/>
          </w:tcPr>
          <w:p w14:paraId="1B680176" w14:textId="77777777" w:rsidR="00C900E3" w:rsidRPr="00ED5DCA" w:rsidRDefault="00C900E3" w:rsidP="00C900E3">
            <w:pPr>
              <w:pStyle w:val="FSTableText"/>
              <w:rPr>
                <w:highlight w:val="cyan"/>
              </w:rPr>
            </w:pPr>
            <w:r w:rsidRPr="00ED5DCA">
              <w:t>Std 2.9.5</w:t>
            </w:r>
            <w:r>
              <w:t>–</w:t>
            </w:r>
            <w:r w:rsidRPr="00ED5DCA">
              <w:t>6 permits the addition of substances. S29</w:t>
            </w:r>
            <w:r>
              <w:t>–</w:t>
            </w:r>
            <w:r w:rsidRPr="00ED5DCA">
              <w:t>20 and</w:t>
            </w:r>
            <w:r>
              <w:t>–</w:t>
            </w:r>
            <w:r w:rsidRPr="00ED5DCA">
              <w:t xml:space="preserve">7 </w:t>
            </w:r>
            <w:proofErr w:type="gramStart"/>
            <w:r w:rsidRPr="00ED5DCA">
              <w:t>provide</w:t>
            </w:r>
            <w:proofErr w:type="gramEnd"/>
            <w:r w:rsidRPr="00ED5DCA">
              <w:t xml:space="preserve"> details on substances which can be added.</w:t>
            </w:r>
          </w:p>
          <w:p w14:paraId="000CD719" w14:textId="77777777" w:rsidR="00C900E3" w:rsidRPr="00ED5DCA" w:rsidRDefault="00C900E3" w:rsidP="00C900E3">
            <w:pPr>
              <w:pStyle w:val="FSTableText"/>
            </w:pPr>
          </w:p>
        </w:tc>
      </w:tr>
    </w:tbl>
    <w:p w14:paraId="36F11641" w14:textId="77777777" w:rsidR="00DE78B6" w:rsidRDefault="00DE78B6" w:rsidP="00DE78B6">
      <w:pPr>
        <w:rPr>
          <w:lang w:bidi="ar-SA"/>
        </w:rPr>
      </w:pPr>
    </w:p>
    <w:sectPr w:rsidR="00DE78B6" w:rsidSect="006B0438">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5E4A33" w15:done="0"/>
  <w15:commentEx w15:paraId="1FE66AC5" w15:done="0"/>
  <w15:commentEx w15:paraId="3C2E6109" w15:done="0"/>
  <w15:commentEx w15:paraId="2F8F870E" w15:done="0"/>
  <w15:commentEx w15:paraId="20222D46" w15:done="0"/>
  <w15:commentEx w15:paraId="6EF521FE" w15:done="0"/>
  <w15:commentEx w15:paraId="4D25F0ED" w15:done="0"/>
  <w15:commentEx w15:paraId="71497E1D" w15:done="0"/>
  <w15:commentEx w15:paraId="2B782256" w15:done="0"/>
  <w15:commentEx w15:paraId="3ACA0433" w15:done="0"/>
  <w15:commentEx w15:paraId="215823FE" w15:done="0"/>
  <w15:commentEx w15:paraId="4D6978BA" w15:done="0"/>
  <w15:commentEx w15:paraId="14562BE1" w15:done="0"/>
  <w15:commentEx w15:paraId="396BC0D3" w15:done="0"/>
  <w15:commentEx w15:paraId="7A4E5D67" w15:done="0"/>
  <w15:commentEx w15:paraId="2B622D62" w15:done="0"/>
  <w15:commentEx w15:paraId="7073D0E8" w15:done="0"/>
  <w15:commentEx w15:paraId="262238FD" w15:done="0"/>
  <w15:commentEx w15:paraId="1EA6C79C" w15:done="0"/>
  <w15:commentEx w15:paraId="7F446B95" w15:done="0"/>
  <w15:commentEx w15:paraId="7EE03101" w15:done="0"/>
  <w15:commentEx w15:paraId="79C4F98F" w15:done="0"/>
  <w15:commentEx w15:paraId="190492F9" w15:done="0"/>
  <w15:commentEx w15:paraId="5FC12789" w15:done="0"/>
  <w15:commentEx w15:paraId="4973CF54" w15:done="0"/>
  <w15:commentEx w15:paraId="70E6FA33" w15:done="0"/>
  <w15:commentEx w15:paraId="6C09F2BA" w15:done="0"/>
  <w15:commentEx w15:paraId="54B1CAD2" w15:done="0"/>
  <w15:commentEx w15:paraId="43BEC0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F7FB7" w14:textId="77777777" w:rsidR="00CA7CFB" w:rsidRDefault="00CA7CFB">
      <w:r>
        <w:separator/>
      </w:r>
    </w:p>
  </w:endnote>
  <w:endnote w:type="continuationSeparator" w:id="0">
    <w:p w14:paraId="0D78362D" w14:textId="77777777" w:rsidR="00CA7CFB" w:rsidRDefault="00CA7CFB">
      <w:r>
        <w:continuationSeparator/>
      </w:r>
    </w:p>
  </w:endnote>
  <w:endnote w:type="continuationNotice" w:id="1">
    <w:p w14:paraId="7076CC81" w14:textId="77777777" w:rsidR="00CA7CFB" w:rsidRDefault="00CA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413170"/>
      <w:docPartObj>
        <w:docPartGallery w:val="Page Numbers (Bottom of Page)"/>
        <w:docPartUnique/>
      </w:docPartObj>
    </w:sdtPr>
    <w:sdtEndPr>
      <w:rPr>
        <w:noProof/>
      </w:rPr>
    </w:sdtEndPr>
    <w:sdtContent>
      <w:p w14:paraId="3BE17CDF" w14:textId="77777777" w:rsidR="00CA7CFB" w:rsidRDefault="00CA7CFB" w:rsidP="000D343C">
        <w:pPr>
          <w:pStyle w:val="Footer"/>
          <w:jc w:val="center"/>
        </w:pPr>
        <w:r>
          <w:fldChar w:fldCharType="begin"/>
        </w:r>
        <w:r>
          <w:instrText xml:space="preserve"> PAGE   \* MERGEFORMAT </w:instrText>
        </w:r>
        <w:r>
          <w:fldChar w:fldCharType="separate"/>
        </w:r>
        <w:r w:rsidR="006E554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BEB2D" w14:textId="77777777" w:rsidR="00CA7CFB" w:rsidRDefault="00CA7CFB">
      <w:r>
        <w:separator/>
      </w:r>
    </w:p>
  </w:footnote>
  <w:footnote w:type="continuationSeparator" w:id="0">
    <w:p w14:paraId="5C25F6F4" w14:textId="77777777" w:rsidR="00CA7CFB" w:rsidRDefault="00CA7CFB">
      <w:r>
        <w:continuationSeparator/>
      </w:r>
    </w:p>
  </w:footnote>
  <w:footnote w:type="continuationNotice" w:id="1">
    <w:p w14:paraId="40C1543D" w14:textId="77777777" w:rsidR="00CA7CFB" w:rsidRDefault="00CA7CFB"/>
  </w:footnote>
  <w:footnote w:id="2">
    <w:p w14:paraId="545405D4" w14:textId="77777777" w:rsidR="00CA7CFB" w:rsidRPr="006F0ECF" w:rsidRDefault="00CA7CFB" w:rsidP="008D37F5">
      <w:pPr>
        <w:pStyle w:val="FootnoteText"/>
        <w:rPr>
          <w:sz w:val="18"/>
          <w:szCs w:val="18"/>
          <w:lang w:val="en-AU"/>
        </w:rPr>
      </w:pPr>
      <w:r w:rsidRPr="006F0ECF">
        <w:rPr>
          <w:rStyle w:val="FootnoteReference"/>
          <w:sz w:val="18"/>
          <w:szCs w:val="18"/>
        </w:rPr>
        <w:footnoteRef/>
      </w:r>
      <w:r w:rsidRPr="006F0ECF">
        <w:rPr>
          <w:sz w:val="18"/>
          <w:szCs w:val="18"/>
        </w:rPr>
        <w:t xml:space="preserve"> </w:t>
      </w:r>
      <w:hyperlink r:id="rId1" w:history="1">
        <w:r w:rsidRPr="006F0ECF">
          <w:rPr>
            <w:rStyle w:val="Hyperlink"/>
            <w:sz w:val="18"/>
            <w:szCs w:val="18"/>
          </w:rPr>
          <w:t>http://www.foodstandards.gov.au/code/fofr/fofrpolicy/pages/default.aspx</w:t>
        </w:r>
      </w:hyperlink>
      <w:r w:rsidRPr="006F0ECF">
        <w:rPr>
          <w:sz w:val="18"/>
          <w:szCs w:val="18"/>
        </w:rPr>
        <w:t xml:space="preserve"> </w:t>
      </w:r>
      <w:r w:rsidRPr="006F0ECF">
        <w:rPr>
          <w:sz w:val="18"/>
          <w:szCs w:val="18"/>
          <w:lang w:val="en-AU"/>
        </w:rPr>
        <w:t xml:space="preserve"> </w:t>
      </w:r>
    </w:p>
  </w:footnote>
  <w:footnote w:id="3">
    <w:p w14:paraId="6370B565" w14:textId="77777777" w:rsidR="00CA7CFB" w:rsidRPr="00AC0D5A" w:rsidRDefault="00CA7CFB">
      <w:pPr>
        <w:pStyle w:val="FootnoteText"/>
        <w:rPr>
          <w:lang w:val="en-AU"/>
        </w:rPr>
      </w:pPr>
      <w:r>
        <w:rPr>
          <w:rStyle w:val="FootnoteReference"/>
        </w:rPr>
        <w:footnoteRef/>
      </w:r>
      <w:r>
        <w:t xml:space="preserve"> </w:t>
      </w:r>
      <w:r w:rsidRPr="00AC0D5A">
        <w:rPr>
          <w:color w:val="000000" w:themeColor="text1"/>
          <w:sz w:val="18"/>
          <w:szCs w:val="18"/>
        </w:rPr>
        <w:t xml:space="preserve">All references to the Code in this assessment </w:t>
      </w:r>
      <w:r w:rsidRPr="00AC0D5A">
        <w:rPr>
          <w:sz w:val="18"/>
          <w:szCs w:val="18"/>
        </w:rPr>
        <w:t xml:space="preserve">summary and related SDs are </w:t>
      </w:r>
      <w:r w:rsidRPr="00AC0D5A">
        <w:rPr>
          <w:color w:val="000000" w:themeColor="text1"/>
          <w:sz w:val="18"/>
          <w:szCs w:val="18"/>
        </w:rPr>
        <w:t>to the revised Code</w:t>
      </w:r>
      <w:r w:rsidRPr="00AC0D5A">
        <w:rPr>
          <w:sz w:val="18"/>
          <w:szCs w:val="18"/>
        </w:rPr>
        <w:t xml:space="preserve"> which takes effect and replaces the current Code on 1 March 2016</w:t>
      </w:r>
      <w:r w:rsidRPr="00AC0D5A">
        <w:rPr>
          <w:color w:val="000000" w:themeColor="text1"/>
          <w:sz w:val="18"/>
          <w:szCs w:val="18"/>
        </w:rPr>
        <w:t xml:space="preserve">. </w:t>
      </w:r>
      <w:r w:rsidRPr="00AC0D5A">
        <w:rPr>
          <w:sz w:val="18"/>
          <w:szCs w:val="18"/>
        </w:rPr>
        <w:t>This is because the gazettal of any draft variation resulting from this Proposal is not expected until after this date, and FSANZ therefore considers it is unnecessary to amend the current Code.</w:t>
      </w:r>
    </w:p>
  </w:footnote>
  <w:footnote w:id="4">
    <w:p w14:paraId="7C3820B2" w14:textId="26435292" w:rsidR="00CA7CFB" w:rsidRPr="004E217B" w:rsidRDefault="00CA7CFB">
      <w:pPr>
        <w:pStyle w:val="FootnoteText"/>
        <w:rPr>
          <w:lang w:val="en-AU"/>
        </w:rPr>
      </w:pPr>
      <w:r>
        <w:rPr>
          <w:rStyle w:val="FootnoteReference"/>
        </w:rPr>
        <w:footnoteRef/>
      </w:r>
      <w:r>
        <w:t xml:space="preserve"> </w:t>
      </w:r>
      <w:r w:rsidRPr="00F72483">
        <w:rPr>
          <w:sz w:val="18"/>
          <w:szCs w:val="18"/>
          <w:lang w:val="en-AU"/>
        </w:rPr>
        <w:t>The NFRG was a FSANZ internal group that provided updates to food enforcement agencies</w:t>
      </w:r>
    </w:p>
  </w:footnote>
  <w:footnote w:id="5">
    <w:p w14:paraId="2896F31A" w14:textId="31F7C8E6" w:rsidR="00CA7CFB" w:rsidRPr="00833EA9" w:rsidRDefault="00CA7CFB">
      <w:pPr>
        <w:pStyle w:val="FootnoteText"/>
        <w:rPr>
          <w:sz w:val="18"/>
          <w:szCs w:val="18"/>
          <w:lang w:val="en-AU"/>
        </w:rPr>
      </w:pPr>
      <w:r w:rsidRPr="00833EA9">
        <w:rPr>
          <w:rStyle w:val="FootnoteReference"/>
          <w:sz w:val="18"/>
          <w:szCs w:val="18"/>
        </w:rPr>
        <w:footnoteRef/>
      </w:r>
      <w:r w:rsidRPr="00833EA9">
        <w:rPr>
          <w:sz w:val="18"/>
          <w:szCs w:val="18"/>
        </w:rPr>
        <w:t xml:space="preserve"> The Major procedure </w:t>
      </w:r>
      <w:r w:rsidRPr="00833EA9">
        <w:rPr>
          <w:sz w:val="18"/>
          <w:szCs w:val="18"/>
          <w:lang w:val="en-AU"/>
        </w:rPr>
        <w:t xml:space="preserve">is used when the variation of the food regulatory measure being considered involves a significant change to the scope of the measure and is of significant technical and scientific complexity.  </w:t>
      </w:r>
    </w:p>
  </w:footnote>
  <w:footnote w:id="6">
    <w:p w14:paraId="7114CD97" w14:textId="77777777" w:rsidR="00CA7CFB" w:rsidRPr="00611776" w:rsidRDefault="00CA7CFB">
      <w:pPr>
        <w:pStyle w:val="FootnoteText"/>
        <w:rPr>
          <w:sz w:val="18"/>
          <w:szCs w:val="18"/>
          <w:lang w:val="en-AU"/>
        </w:rPr>
      </w:pPr>
      <w:r>
        <w:rPr>
          <w:rStyle w:val="FootnoteReference"/>
        </w:rPr>
        <w:footnoteRef/>
      </w:r>
      <w:r>
        <w:t xml:space="preserve"> </w:t>
      </w:r>
      <w:r>
        <w:rPr>
          <w:sz w:val="18"/>
          <w:szCs w:val="18"/>
          <w:lang w:val="en-AU"/>
        </w:rPr>
        <w:t>The revised Code definition of ‘used as a nutritive substance’ replaces the definition of ‘nutritive substance’. However, the revised definition maintains the terminology referred to by the Court. Addressing the issues associated with these terms has been reserved for this Proposal.</w:t>
      </w:r>
    </w:p>
  </w:footnote>
  <w:footnote w:id="7">
    <w:p w14:paraId="46201869" w14:textId="77777777" w:rsidR="00CA7CFB" w:rsidRPr="00946D74" w:rsidRDefault="00CA7CFB">
      <w:pPr>
        <w:pStyle w:val="FootnoteText"/>
        <w:rPr>
          <w:sz w:val="18"/>
          <w:szCs w:val="18"/>
          <w:lang w:val="en-AU"/>
        </w:rPr>
      </w:pPr>
      <w:r w:rsidRPr="00946D74">
        <w:rPr>
          <w:rStyle w:val="FootnoteReference"/>
          <w:sz w:val="18"/>
          <w:szCs w:val="18"/>
        </w:rPr>
        <w:footnoteRef/>
      </w:r>
      <w:r w:rsidRPr="00946D74">
        <w:rPr>
          <w:sz w:val="18"/>
          <w:szCs w:val="18"/>
        </w:rPr>
        <w:t xml:space="preserve"> </w:t>
      </w:r>
      <w:hyperlink r:id="rId2" w:history="1">
        <w:r w:rsidRPr="006F0ECF">
          <w:rPr>
            <w:rStyle w:val="Hyperlink"/>
            <w:sz w:val="18"/>
            <w:szCs w:val="18"/>
          </w:rPr>
          <w:t>http://www.foodstandards.gov.au/code/fofr/fofrpolicy/pages/default.aspx</w:t>
        </w:r>
      </w:hyperlink>
      <w:r w:rsidRPr="006F0ECF">
        <w:rPr>
          <w:sz w:val="18"/>
          <w:szCs w:val="18"/>
        </w:rPr>
        <w:t xml:space="preserve"> </w:t>
      </w:r>
    </w:p>
  </w:footnote>
  <w:footnote w:id="8">
    <w:p w14:paraId="5A6CDBED" w14:textId="77777777" w:rsidR="00CA7CFB" w:rsidRPr="005D21C4" w:rsidRDefault="00CA7CFB" w:rsidP="00E24831">
      <w:pPr>
        <w:pStyle w:val="FootnoteText"/>
        <w:rPr>
          <w:sz w:val="18"/>
          <w:szCs w:val="18"/>
          <w:lang w:val="en-AU"/>
        </w:rPr>
      </w:pPr>
      <w:r w:rsidRPr="005D21C4">
        <w:rPr>
          <w:rStyle w:val="FootnoteReference"/>
          <w:sz w:val="18"/>
          <w:szCs w:val="18"/>
        </w:rPr>
        <w:footnoteRef/>
      </w:r>
      <w:r w:rsidRPr="005D21C4">
        <w:rPr>
          <w:sz w:val="18"/>
          <w:szCs w:val="18"/>
        </w:rPr>
        <w:t xml:space="preserve"> </w:t>
      </w:r>
      <w:r w:rsidRPr="005D21C4">
        <w:rPr>
          <w:sz w:val="18"/>
          <w:szCs w:val="18"/>
          <w:lang w:val="en-AU"/>
        </w:rPr>
        <w:t xml:space="preserve">Available from FSANZ website: </w:t>
      </w:r>
      <w:hyperlink r:id="rId3" w:history="1">
        <w:r w:rsidRPr="005D21C4">
          <w:rPr>
            <w:rStyle w:val="Hyperlink"/>
            <w:sz w:val="18"/>
            <w:szCs w:val="18"/>
            <w:lang w:val="en-AU"/>
          </w:rPr>
          <w:t>http://www.foodstandards.gov.au/industry/novel/Pages/default.aspx</w:t>
        </w:r>
      </w:hyperlink>
      <w:r w:rsidRPr="005D21C4">
        <w:rPr>
          <w:sz w:val="18"/>
          <w:szCs w:val="18"/>
          <w:lang w:val="en-AU"/>
        </w:rPr>
        <w:t xml:space="preserve"> (click on link under heading “How do I enquire about whether a food is novel?”</w:t>
      </w:r>
      <w:r>
        <w:rPr>
          <w:sz w:val="18"/>
          <w:szCs w:val="18"/>
          <w:lang w:val="en-AU"/>
        </w:rPr>
        <w:t>)</w:t>
      </w:r>
    </w:p>
  </w:footnote>
  <w:footnote w:id="9">
    <w:p w14:paraId="1D3DFB53" w14:textId="46C70B33" w:rsidR="00CA7CFB" w:rsidRPr="00CE04B6" w:rsidRDefault="00CA7CFB">
      <w:pPr>
        <w:pStyle w:val="FootnoteText"/>
        <w:rPr>
          <w:sz w:val="18"/>
          <w:szCs w:val="18"/>
          <w:lang w:val="en-AU"/>
        </w:rPr>
      </w:pPr>
      <w:r>
        <w:rPr>
          <w:rStyle w:val="FootnoteReference"/>
        </w:rPr>
        <w:footnoteRef/>
      </w:r>
      <w:r>
        <w:t xml:space="preserve"> </w:t>
      </w:r>
      <w:r>
        <w:rPr>
          <w:sz w:val="18"/>
          <w:szCs w:val="18"/>
          <w:lang w:val="en-AU"/>
        </w:rPr>
        <w:t xml:space="preserve">The nature of the food business (for example, manufacturer, supplier, retailer) required to establish the safety of the food and notify food regulators/authorities is discussed in more detail later in this section under the heading </w:t>
      </w:r>
      <w:r w:rsidRPr="00CE04B6">
        <w:rPr>
          <w:i/>
          <w:sz w:val="18"/>
          <w:szCs w:val="18"/>
          <w:lang w:val="en-AU"/>
        </w:rPr>
        <w:t>Dossier requirements – publication’</w:t>
      </w:r>
    </w:p>
  </w:footnote>
  <w:footnote w:id="10">
    <w:p w14:paraId="6DDF6C07" w14:textId="77777777" w:rsidR="00CA7CFB" w:rsidRPr="008828D9" w:rsidRDefault="00CA7CFB" w:rsidP="00C17932">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1">
    <w:p w14:paraId="2F403052" w14:textId="77777777" w:rsidR="00CA7CFB" w:rsidRPr="00C6529C" w:rsidRDefault="00CA7CFB" w:rsidP="00C17932">
      <w:pPr>
        <w:pStyle w:val="FootnoteText"/>
        <w:rPr>
          <w:lang w:val="en-AU"/>
        </w:rPr>
      </w:pPr>
      <w:r>
        <w:rPr>
          <w:rStyle w:val="FootnoteReference"/>
        </w:rPr>
        <w:footnoteRef/>
      </w:r>
      <w:r>
        <w:t xml:space="preserve"> </w:t>
      </w:r>
      <w:hyperlink r:id="rId4" w:history="1">
        <w:r w:rsidRPr="006F0ECF">
          <w:rPr>
            <w:rStyle w:val="Hyperlink"/>
            <w:sz w:val="18"/>
            <w:szCs w:val="18"/>
          </w:rPr>
          <w:t>http://www.foodstandards.gov.au/code/fofr/fofrpolicy/pages/default.aspx</w:t>
        </w:r>
      </w:hyperlink>
    </w:p>
  </w:footnote>
  <w:footnote w:id="12">
    <w:p w14:paraId="4C8A834B" w14:textId="77777777" w:rsidR="00CA7CFB" w:rsidRPr="00A24FE6" w:rsidRDefault="00CA7CFB" w:rsidP="00F640F9">
      <w:pPr>
        <w:pStyle w:val="FootnoteText"/>
        <w:tabs>
          <w:tab w:val="left" w:pos="6521"/>
        </w:tabs>
        <w:rPr>
          <w:lang w:val="en-AU"/>
        </w:rPr>
      </w:pPr>
      <w:r>
        <w:rPr>
          <w:rStyle w:val="FootnoteReference"/>
        </w:rPr>
        <w:footnoteRef/>
      </w:r>
      <w:r>
        <w:t xml:space="preserve"> </w:t>
      </w:r>
      <w:proofErr w:type="gramStart"/>
      <w:r w:rsidRPr="003D597E">
        <w:rPr>
          <w:sz w:val="18"/>
          <w:szCs w:val="18"/>
        </w:rPr>
        <w:t>The New Zealand Food (Supplemented Food) Standard 2013.</w:t>
      </w:r>
      <w:proofErr w:type="gramEnd"/>
      <w:r w:rsidRPr="003D597E">
        <w:rPr>
          <w:sz w:val="18"/>
          <w:szCs w:val="18"/>
        </w:rPr>
        <w:t xml:space="preserve"> </w:t>
      </w:r>
      <w:r w:rsidRPr="003D597E">
        <w:rPr>
          <w:sz w:val="18"/>
          <w:szCs w:val="18"/>
          <w:lang w:val="en-AU"/>
        </w:rPr>
        <w:t xml:space="preserve">Available at </w:t>
      </w:r>
      <w:hyperlink r:id="rId5" w:history="1">
        <w:r w:rsidRPr="003D597E">
          <w:rPr>
            <w:rStyle w:val="Hyperlink"/>
            <w:sz w:val="18"/>
            <w:szCs w:val="18"/>
            <w:lang w:val="en-AU"/>
          </w:rPr>
          <w:t>http://www.foodsafety.govt.nz/elibrary/industry/nzfood-supplementedfood-standard-2013.pdf</w:t>
        </w:r>
      </w:hyperlink>
    </w:p>
  </w:footnote>
  <w:footnote w:id="13">
    <w:p w14:paraId="78DBB55A" w14:textId="77777777" w:rsidR="00CA7CFB" w:rsidRPr="003D597E" w:rsidRDefault="00CA7CFB" w:rsidP="00F640F9">
      <w:pPr>
        <w:pStyle w:val="FootnoteText"/>
        <w:rPr>
          <w:sz w:val="18"/>
          <w:lang w:val="en-NZ"/>
        </w:rPr>
      </w:pPr>
      <w:r w:rsidRPr="003D597E">
        <w:rPr>
          <w:rStyle w:val="FootnoteReference"/>
          <w:sz w:val="18"/>
        </w:rPr>
        <w:footnoteRef/>
      </w:r>
      <w:r w:rsidRPr="003D597E">
        <w:rPr>
          <w:sz w:val="18"/>
        </w:rPr>
        <w:t xml:space="preserve"> </w:t>
      </w:r>
      <w:r w:rsidRPr="003D597E">
        <w:rPr>
          <w:sz w:val="18"/>
          <w:lang w:val="en-NZ"/>
        </w:rPr>
        <w:t>For example, pasta may contain thiamin, iron and 7 other vitamins and minerals.</w:t>
      </w:r>
    </w:p>
  </w:footnote>
  <w:footnote w:id="14">
    <w:p w14:paraId="1FC9271F" w14:textId="77777777" w:rsidR="00CA7CFB" w:rsidRPr="003557A3" w:rsidRDefault="00CA7CFB" w:rsidP="003557A3">
      <w:pPr>
        <w:pStyle w:val="FootnoteText"/>
        <w:rPr>
          <w:lang w:val="en-AU"/>
        </w:rPr>
      </w:pPr>
      <w:r w:rsidRPr="003D597E">
        <w:rPr>
          <w:rStyle w:val="FootnoteReference"/>
          <w:sz w:val="18"/>
        </w:rPr>
        <w:footnoteRef/>
      </w:r>
      <w:r w:rsidRPr="003D597E">
        <w:rPr>
          <w:sz w:val="18"/>
        </w:rPr>
        <w:t xml:space="preserve"> Vitamin and mineral permissions are not being addressed in this proposal except for possible editorial consequential changes.</w:t>
      </w:r>
    </w:p>
  </w:footnote>
  <w:footnote w:id="15">
    <w:p w14:paraId="02EE999F" w14:textId="77777777" w:rsidR="00CA7CFB" w:rsidRPr="003D597E" w:rsidRDefault="00CA7CFB" w:rsidP="00D6043E">
      <w:pPr>
        <w:pStyle w:val="FootnoteText"/>
        <w:rPr>
          <w:sz w:val="18"/>
          <w:szCs w:val="18"/>
          <w:lang w:val="en-AU"/>
        </w:rPr>
      </w:pPr>
      <w:r w:rsidRPr="003D597E">
        <w:rPr>
          <w:rStyle w:val="FootnoteReference"/>
          <w:sz w:val="18"/>
          <w:szCs w:val="18"/>
        </w:rPr>
        <w:footnoteRef/>
      </w:r>
      <w:hyperlink r:id="rId6" w:history="1">
        <w:r w:rsidRPr="003D597E">
          <w:rPr>
            <w:rStyle w:val="Hyperlink"/>
            <w:sz w:val="18"/>
            <w:szCs w:val="18"/>
          </w:rPr>
          <w:t>http://www.foodstandards.gov.au/media/Pages/mediareleases/mediareleases2012/26march2012fsanzcons5467.aspx</w:t>
        </w:r>
      </w:hyperlink>
      <w:r w:rsidRPr="003D597E">
        <w:rPr>
          <w:sz w:val="18"/>
          <w:szCs w:val="18"/>
        </w:rPr>
        <w:t xml:space="preserve"> </w:t>
      </w:r>
    </w:p>
  </w:footnote>
  <w:footnote w:id="16">
    <w:p w14:paraId="16881592" w14:textId="77777777" w:rsidR="00CA7CFB" w:rsidRPr="00442E14" w:rsidRDefault="00CA7CFB" w:rsidP="00CA6A49">
      <w:pPr>
        <w:pStyle w:val="FootnoteText"/>
        <w:rPr>
          <w:sz w:val="18"/>
          <w:szCs w:val="18"/>
          <w:lang w:val="en-AU"/>
        </w:rPr>
      </w:pPr>
      <w:r w:rsidRPr="00442E14">
        <w:rPr>
          <w:rStyle w:val="FootnoteReference"/>
          <w:sz w:val="18"/>
          <w:szCs w:val="18"/>
        </w:rPr>
        <w:footnoteRef/>
      </w:r>
      <w:r w:rsidRPr="00442E14">
        <w:rPr>
          <w:sz w:val="18"/>
          <w:szCs w:val="18"/>
        </w:rPr>
        <w:t xml:space="preserve"> </w:t>
      </w:r>
      <w:proofErr w:type="gramStart"/>
      <w:r w:rsidRPr="00442E14">
        <w:rPr>
          <w:sz w:val="18"/>
          <w:szCs w:val="18"/>
          <w:lang w:val="en-AU"/>
        </w:rPr>
        <w:t xml:space="preserve">Temporary class drug notice issued under the </w:t>
      </w:r>
      <w:r w:rsidRPr="006F0ECF">
        <w:rPr>
          <w:i/>
          <w:sz w:val="18"/>
          <w:szCs w:val="18"/>
          <w:lang w:val="en-AU"/>
        </w:rPr>
        <w:t>Misuse of Drugs Act 1975</w:t>
      </w:r>
      <w:r w:rsidRPr="00442E14">
        <w:rPr>
          <w:sz w:val="18"/>
          <w:szCs w:val="18"/>
          <w:lang w:val="en-AU"/>
        </w:rPr>
        <w:t>.</w:t>
      </w:r>
      <w:proofErr w:type="gramEnd"/>
    </w:p>
  </w:footnote>
  <w:footnote w:id="17">
    <w:p w14:paraId="7DB04D57" w14:textId="77777777" w:rsidR="00CA7CFB" w:rsidRPr="00963C78" w:rsidRDefault="00CA7CFB">
      <w:pPr>
        <w:pStyle w:val="FootnoteText"/>
        <w:rPr>
          <w:sz w:val="18"/>
          <w:szCs w:val="18"/>
          <w:lang w:val="en-AU"/>
        </w:rPr>
      </w:pPr>
      <w:r w:rsidRPr="00963C78">
        <w:rPr>
          <w:rStyle w:val="FootnoteReference"/>
          <w:sz w:val="18"/>
          <w:szCs w:val="18"/>
        </w:rPr>
        <w:footnoteRef/>
      </w:r>
      <w:r w:rsidRPr="00963C78">
        <w:rPr>
          <w:sz w:val="18"/>
          <w:szCs w:val="18"/>
        </w:rPr>
        <w:t xml:space="preserve"> Food classes will be listed in the Code. More detail on food classes is provided in SD3. The food classes are based on those listed in Schedule 22 of the revised Code.</w:t>
      </w:r>
    </w:p>
  </w:footnote>
  <w:footnote w:id="18">
    <w:p w14:paraId="6F940880" w14:textId="77777777" w:rsidR="00CA7CFB" w:rsidRPr="003D56C8" w:rsidRDefault="00CA7CFB">
      <w:pPr>
        <w:pStyle w:val="FootnoteText"/>
        <w:rPr>
          <w:sz w:val="18"/>
          <w:szCs w:val="18"/>
          <w:lang w:val="en-AU"/>
        </w:rPr>
      </w:pPr>
      <w:r w:rsidRPr="008B4835">
        <w:rPr>
          <w:rStyle w:val="FootnoteReference"/>
          <w:sz w:val="18"/>
          <w:szCs w:val="18"/>
        </w:rPr>
        <w:footnoteRef/>
      </w:r>
      <w:r w:rsidRPr="008B4835">
        <w:rPr>
          <w:sz w:val="18"/>
          <w:szCs w:val="18"/>
        </w:rPr>
        <w:t xml:space="preserve"> </w:t>
      </w:r>
      <w:r w:rsidRPr="003D56C8">
        <w:rPr>
          <w:sz w:val="18"/>
          <w:szCs w:val="18"/>
          <w:lang w:val="en-AU"/>
        </w:rPr>
        <w:t>In the revised Code, ‘permitted’ is replaced by ‘listed’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B167B" w14:textId="633B8887" w:rsidR="00CA7CFB" w:rsidRDefault="00CA7CFB" w:rsidP="000D34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12419"/>
    <w:multiLevelType w:val="hybridMultilevel"/>
    <w:tmpl w:val="22CC777A"/>
    <w:lvl w:ilvl="0" w:tplc="98EC310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7620E4"/>
    <w:multiLevelType w:val="hybridMultilevel"/>
    <w:tmpl w:val="F8545C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25DA5F83"/>
    <w:multiLevelType w:val="hybridMultilevel"/>
    <w:tmpl w:val="C654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6D6313"/>
    <w:multiLevelType w:val="hybridMultilevel"/>
    <w:tmpl w:val="618232DE"/>
    <w:lvl w:ilvl="0" w:tplc="E1C028C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9E1A25"/>
    <w:multiLevelType w:val="hybridMultilevel"/>
    <w:tmpl w:val="4F3ADDB8"/>
    <w:lvl w:ilvl="0" w:tplc="145A0DD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nsid w:val="3C926498"/>
    <w:multiLevelType w:val="hybridMultilevel"/>
    <w:tmpl w:val="EF74B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2E3B57"/>
    <w:multiLevelType w:val="hybridMultilevel"/>
    <w:tmpl w:val="6BCCE848"/>
    <w:lvl w:ilvl="0" w:tplc="D46814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632E20"/>
    <w:multiLevelType w:val="hybridMultilevel"/>
    <w:tmpl w:val="80F0F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5B77C5"/>
    <w:multiLevelType w:val="hybridMultilevel"/>
    <w:tmpl w:val="F29AC634"/>
    <w:lvl w:ilvl="0" w:tplc="0C09000F">
      <w:start w:val="1"/>
      <w:numFmt w:val="decimal"/>
      <w:lvlText w:val="%1."/>
      <w:lvlJc w:val="left"/>
      <w:pPr>
        <w:ind w:left="720" w:hanging="360"/>
      </w:pPr>
    </w:lvl>
    <w:lvl w:ilvl="1" w:tplc="93324B2A">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1433AAA"/>
    <w:multiLevelType w:val="hybridMultilevel"/>
    <w:tmpl w:val="7E74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697AB1"/>
    <w:multiLevelType w:val="hybridMultilevel"/>
    <w:tmpl w:val="738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F1218F8"/>
    <w:multiLevelType w:val="hybridMultilevel"/>
    <w:tmpl w:val="28E68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5"/>
  </w:num>
  <w:num w:numId="5">
    <w:abstractNumId w:val="7"/>
  </w:num>
  <w:num w:numId="6">
    <w:abstractNumId w:val="12"/>
  </w:num>
  <w:num w:numId="7">
    <w:abstractNumId w:val="5"/>
  </w:num>
  <w:num w:numId="8">
    <w:abstractNumId w:val="2"/>
  </w:num>
  <w:num w:numId="9">
    <w:abstractNumId w:val="13"/>
  </w:num>
  <w:num w:numId="10">
    <w:abstractNumId w:val="17"/>
  </w:num>
  <w:num w:numId="11">
    <w:abstractNumId w:val="10"/>
  </w:num>
  <w:num w:numId="12">
    <w:abstractNumId w:val="6"/>
  </w:num>
  <w:num w:numId="13">
    <w:abstractNumId w:val="9"/>
  </w:num>
  <w:num w:numId="14">
    <w:abstractNumId w:val="14"/>
  </w:num>
  <w:num w:numId="15">
    <w:abstractNumId w:val="16"/>
  </w:num>
  <w:num w:numId="16">
    <w:abstractNumId w:val="4"/>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56b0d24c82a5b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792"/>
    <w:rsid w:val="0000105A"/>
    <w:rsid w:val="000010F7"/>
    <w:rsid w:val="00001871"/>
    <w:rsid w:val="00001CF2"/>
    <w:rsid w:val="0000247B"/>
    <w:rsid w:val="00003CB4"/>
    <w:rsid w:val="0000469B"/>
    <w:rsid w:val="00004783"/>
    <w:rsid w:val="000051CA"/>
    <w:rsid w:val="000071BA"/>
    <w:rsid w:val="00007C51"/>
    <w:rsid w:val="00007D42"/>
    <w:rsid w:val="0001110C"/>
    <w:rsid w:val="00011A01"/>
    <w:rsid w:val="00011E30"/>
    <w:rsid w:val="0001237B"/>
    <w:rsid w:val="00014C4E"/>
    <w:rsid w:val="00016883"/>
    <w:rsid w:val="00016CB6"/>
    <w:rsid w:val="00017215"/>
    <w:rsid w:val="0001750C"/>
    <w:rsid w:val="00020684"/>
    <w:rsid w:val="00020858"/>
    <w:rsid w:val="000208B9"/>
    <w:rsid w:val="00020938"/>
    <w:rsid w:val="000209EF"/>
    <w:rsid w:val="000213AF"/>
    <w:rsid w:val="000235A5"/>
    <w:rsid w:val="000235AA"/>
    <w:rsid w:val="00023A55"/>
    <w:rsid w:val="000251CE"/>
    <w:rsid w:val="00026635"/>
    <w:rsid w:val="00026C29"/>
    <w:rsid w:val="00026D06"/>
    <w:rsid w:val="00027515"/>
    <w:rsid w:val="00027E3B"/>
    <w:rsid w:val="0003025F"/>
    <w:rsid w:val="00030325"/>
    <w:rsid w:val="00030746"/>
    <w:rsid w:val="000327B1"/>
    <w:rsid w:val="00032C8A"/>
    <w:rsid w:val="00032CC5"/>
    <w:rsid w:val="0003393C"/>
    <w:rsid w:val="000344D1"/>
    <w:rsid w:val="0003465D"/>
    <w:rsid w:val="00034F87"/>
    <w:rsid w:val="00035FF3"/>
    <w:rsid w:val="000374CA"/>
    <w:rsid w:val="00037D0D"/>
    <w:rsid w:val="00041A89"/>
    <w:rsid w:val="000427B2"/>
    <w:rsid w:val="00043017"/>
    <w:rsid w:val="00043135"/>
    <w:rsid w:val="0004365C"/>
    <w:rsid w:val="00050F75"/>
    <w:rsid w:val="00051021"/>
    <w:rsid w:val="00051152"/>
    <w:rsid w:val="00051849"/>
    <w:rsid w:val="00051ED9"/>
    <w:rsid w:val="00053602"/>
    <w:rsid w:val="00053888"/>
    <w:rsid w:val="0005433C"/>
    <w:rsid w:val="00054857"/>
    <w:rsid w:val="000552EF"/>
    <w:rsid w:val="000559D3"/>
    <w:rsid w:val="00057181"/>
    <w:rsid w:val="00057E67"/>
    <w:rsid w:val="00060E71"/>
    <w:rsid w:val="0006333E"/>
    <w:rsid w:val="00064304"/>
    <w:rsid w:val="00064342"/>
    <w:rsid w:val="00064B2D"/>
    <w:rsid w:val="00065F1F"/>
    <w:rsid w:val="0006779C"/>
    <w:rsid w:val="00070A52"/>
    <w:rsid w:val="00072392"/>
    <w:rsid w:val="00072463"/>
    <w:rsid w:val="00072575"/>
    <w:rsid w:val="00073513"/>
    <w:rsid w:val="00073701"/>
    <w:rsid w:val="0007387C"/>
    <w:rsid w:val="0007466A"/>
    <w:rsid w:val="0007466D"/>
    <w:rsid w:val="0007573E"/>
    <w:rsid w:val="0007688B"/>
    <w:rsid w:val="00076D33"/>
    <w:rsid w:val="00081784"/>
    <w:rsid w:val="00084A2A"/>
    <w:rsid w:val="000874F2"/>
    <w:rsid w:val="00091CC2"/>
    <w:rsid w:val="00092064"/>
    <w:rsid w:val="00094AAF"/>
    <w:rsid w:val="0009631D"/>
    <w:rsid w:val="00096915"/>
    <w:rsid w:val="000A109E"/>
    <w:rsid w:val="000A27E9"/>
    <w:rsid w:val="000A3679"/>
    <w:rsid w:val="000A38C7"/>
    <w:rsid w:val="000A3D7D"/>
    <w:rsid w:val="000A3D8B"/>
    <w:rsid w:val="000A4D65"/>
    <w:rsid w:val="000A55B0"/>
    <w:rsid w:val="000A55B1"/>
    <w:rsid w:val="000A5DF8"/>
    <w:rsid w:val="000A74EA"/>
    <w:rsid w:val="000A7AFD"/>
    <w:rsid w:val="000B1ECE"/>
    <w:rsid w:val="000B239E"/>
    <w:rsid w:val="000B65C3"/>
    <w:rsid w:val="000B6AF2"/>
    <w:rsid w:val="000B71F1"/>
    <w:rsid w:val="000C0024"/>
    <w:rsid w:val="000C2350"/>
    <w:rsid w:val="000C38DE"/>
    <w:rsid w:val="000C4A08"/>
    <w:rsid w:val="000C4F37"/>
    <w:rsid w:val="000C5099"/>
    <w:rsid w:val="000C6B0C"/>
    <w:rsid w:val="000C708D"/>
    <w:rsid w:val="000C7B28"/>
    <w:rsid w:val="000D02C0"/>
    <w:rsid w:val="000D049D"/>
    <w:rsid w:val="000D0DA9"/>
    <w:rsid w:val="000D113E"/>
    <w:rsid w:val="000D1665"/>
    <w:rsid w:val="000D1C8A"/>
    <w:rsid w:val="000D1D5A"/>
    <w:rsid w:val="000D2709"/>
    <w:rsid w:val="000D28A4"/>
    <w:rsid w:val="000D295F"/>
    <w:rsid w:val="000D30A4"/>
    <w:rsid w:val="000D343C"/>
    <w:rsid w:val="000D4486"/>
    <w:rsid w:val="000D5345"/>
    <w:rsid w:val="000D58E7"/>
    <w:rsid w:val="000D63FB"/>
    <w:rsid w:val="000D6C84"/>
    <w:rsid w:val="000D6E5E"/>
    <w:rsid w:val="000D6FD4"/>
    <w:rsid w:val="000D7003"/>
    <w:rsid w:val="000D7612"/>
    <w:rsid w:val="000D7CA3"/>
    <w:rsid w:val="000E0AE4"/>
    <w:rsid w:val="000E10EE"/>
    <w:rsid w:val="000E3684"/>
    <w:rsid w:val="000E3DBC"/>
    <w:rsid w:val="000E4F86"/>
    <w:rsid w:val="000E5447"/>
    <w:rsid w:val="000E6242"/>
    <w:rsid w:val="000E6E42"/>
    <w:rsid w:val="000E7D7D"/>
    <w:rsid w:val="000F1062"/>
    <w:rsid w:val="000F25EA"/>
    <w:rsid w:val="000F26F4"/>
    <w:rsid w:val="000F3902"/>
    <w:rsid w:val="000F3A00"/>
    <w:rsid w:val="000F56FA"/>
    <w:rsid w:val="000F669D"/>
    <w:rsid w:val="000F6BFE"/>
    <w:rsid w:val="000F6C70"/>
    <w:rsid w:val="001005E8"/>
    <w:rsid w:val="00101890"/>
    <w:rsid w:val="001018DA"/>
    <w:rsid w:val="00101CD1"/>
    <w:rsid w:val="00101F1B"/>
    <w:rsid w:val="001027B8"/>
    <w:rsid w:val="001033FA"/>
    <w:rsid w:val="0010404B"/>
    <w:rsid w:val="001069DE"/>
    <w:rsid w:val="001074A7"/>
    <w:rsid w:val="00110D65"/>
    <w:rsid w:val="00112C5C"/>
    <w:rsid w:val="00113CE3"/>
    <w:rsid w:val="00114035"/>
    <w:rsid w:val="001146EF"/>
    <w:rsid w:val="001152DB"/>
    <w:rsid w:val="00117522"/>
    <w:rsid w:val="001202D7"/>
    <w:rsid w:val="00120C6A"/>
    <w:rsid w:val="00121743"/>
    <w:rsid w:val="0012379B"/>
    <w:rsid w:val="001247E5"/>
    <w:rsid w:val="00126749"/>
    <w:rsid w:val="00126D26"/>
    <w:rsid w:val="001301BF"/>
    <w:rsid w:val="00130710"/>
    <w:rsid w:val="00131B2C"/>
    <w:rsid w:val="00134A7F"/>
    <w:rsid w:val="00135103"/>
    <w:rsid w:val="00135C7F"/>
    <w:rsid w:val="00136C48"/>
    <w:rsid w:val="00142257"/>
    <w:rsid w:val="00142366"/>
    <w:rsid w:val="00144938"/>
    <w:rsid w:val="00144EDB"/>
    <w:rsid w:val="001455E8"/>
    <w:rsid w:val="00146159"/>
    <w:rsid w:val="00146F38"/>
    <w:rsid w:val="001473E4"/>
    <w:rsid w:val="00147B20"/>
    <w:rsid w:val="001500F8"/>
    <w:rsid w:val="001506B6"/>
    <w:rsid w:val="00150AFA"/>
    <w:rsid w:val="001513DB"/>
    <w:rsid w:val="00151F56"/>
    <w:rsid w:val="001542D8"/>
    <w:rsid w:val="001542FB"/>
    <w:rsid w:val="00155718"/>
    <w:rsid w:val="00156AE0"/>
    <w:rsid w:val="00163472"/>
    <w:rsid w:val="001664D8"/>
    <w:rsid w:val="001664F3"/>
    <w:rsid w:val="0017255E"/>
    <w:rsid w:val="00172D6F"/>
    <w:rsid w:val="001760AB"/>
    <w:rsid w:val="00176A43"/>
    <w:rsid w:val="001771EE"/>
    <w:rsid w:val="00180C41"/>
    <w:rsid w:val="0018100E"/>
    <w:rsid w:val="0018130A"/>
    <w:rsid w:val="00182C4C"/>
    <w:rsid w:val="0018342A"/>
    <w:rsid w:val="00185DEE"/>
    <w:rsid w:val="00187C7E"/>
    <w:rsid w:val="00191878"/>
    <w:rsid w:val="0019356A"/>
    <w:rsid w:val="0019549D"/>
    <w:rsid w:val="00195A15"/>
    <w:rsid w:val="001967B9"/>
    <w:rsid w:val="00197D8D"/>
    <w:rsid w:val="001A1A75"/>
    <w:rsid w:val="001A1C15"/>
    <w:rsid w:val="001A2D9F"/>
    <w:rsid w:val="001A50CB"/>
    <w:rsid w:val="001A5606"/>
    <w:rsid w:val="001A6BB7"/>
    <w:rsid w:val="001A7E9A"/>
    <w:rsid w:val="001B2691"/>
    <w:rsid w:val="001B3353"/>
    <w:rsid w:val="001B35BE"/>
    <w:rsid w:val="001B4760"/>
    <w:rsid w:val="001B4EB9"/>
    <w:rsid w:val="001B60D5"/>
    <w:rsid w:val="001C27A3"/>
    <w:rsid w:val="001C282C"/>
    <w:rsid w:val="001C3D2F"/>
    <w:rsid w:val="001C501B"/>
    <w:rsid w:val="001C5295"/>
    <w:rsid w:val="001C56C8"/>
    <w:rsid w:val="001C599B"/>
    <w:rsid w:val="001C5C2E"/>
    <w:rsid w:val="001C75CD"/>
    <w:rsid w:val="001C7C57"/>
    <w:rsid w:val="001D001E"/>
    <w:rsid w:val="001D0D9B"/>
    <w:rsid w:val="001D6967"/>
    <w:rsid w:val="001D73C6"/>
    <w:rsid w:val="001D78A0"/>
    <w:rsid w:val="001D7E16"/>
    <w:rsid w:val="001E09FA"/>
    <w:rsid w:val="001E1233"/>
    <w:rsid w:val="001E26BF"/>
    <w:rsid w:val="001E26C8"/>
    <w:rsid w:val="001E293D"/>
    <w:rsid w:val="001E2CF7"/>
    <w:rsid w:val="001E34FA"/>
    <w:rsid w:val="001F1C48"/>
    <w:rsid w:val="001F2C1C"/>
    <w:rsid w:val="001F38FE"/>
    <w:rsid w:val="001F3DE0"/>
    <w:rsid w:val="001F74B2"/>
    <w:rsid w:val="00200B43"/>
    <w:rsid w:val="00200D3C"/>
    <w:rsid w:val="00203540"/>
    <w:rsid w:val="002035D3"/>
    <w:rsid w:val="002039F1"/>
    <w:rsid w:val="00203DDE"/>
    <w:rsid w:val="002059FF"/>
    <w:rsid w:val="00205DC9"/>
    <w:rsid w:val="002100DD"/>
    <w:rsid w:val="002111D3"/>
    <w:rsid w:val="00211B77"/>
    <w:rsid w:val="0021233E"/>
    <w:rsid w:val="00212341"/>
    <w:rsid w:val="00212C1D"/>
    <w:rsid w:val="00212E6A"/>
    <w:rsid w:val="00214984"/>
    <w:rsid w:val="00214DE6"/>
    <w:rsid w:val="00215051"/>
    <w:rsid w:val="00215A3E"/>
    <w:rsid w:val="0021613B"/>
    <w:rsid w:val="00216BB5"/>
    <w:rsid w:val="00216FCF"/>
    <w:rsid w:val="00217F8C"/>
    <w:rsid w:val="00221A7B"/>
    <w:rsid w:val="00221D07"/>
    <w:rsid w:val="00222AE4"/>
    <w:rsid w:val="00223545"/>
    <w:rsid w:val="00223A12"/>
    <w:rsid w:val="00225E4D"/>
    <w:rsid w:val="002262B0"/>
    <w:rsid w:val="002262ED"/>
    <w:rsid w:val="00227C88"/>
    <w:rsid w:val="00227E4A"/>
    <w:rsid w:val="0023023E"/>
    <w:rsid w:val="00230BCC"/>
    <w:rsid w:val="002313DD"/>
    <w:rsid w:val="00231ED0"/>
    <w:rsid w:val="00232093"/>
    <w:rsid w:val="00232EA0"/>
    <w:rsid w:val="00235318"/>
    <w:rsid w:val="00236FA6"/>
    <w:rsid w:val="002407C8"/>
    <w:rsid w:val="002408A9"/>
    <w:rsid w:val="002413B6"/>
    <w:rsid w:val="002413F2"/>
    <w:rsid w:val="00242D6E"/>
    <w:rsid w:val="002432EE"/>
    <w:rsid w:val="0024522D"/>
    <w:rsid w:val="0024582E"/>
    <w:rsid w:val="00250300"/>
    <w:rsid w:val="00251D16"/>
    <w:rsid w:val="002522E1"/>
    <w:rsid w:val="00252F14"/>
    <w:rsid w:val="00253AA3"/>
    <w:rsid w:val="00253AB1"/>
    <w:rsid w:val="002547EF"/>
    <w:rsid w:val="00256AC2"/>
    <w:rsid w:val="00256D65"/>
    <w:rsid w:val="00257DF6"/>
    <w:rsid w:val="00260FB0"/>
    <w:rsid w:val="00261DB3"/>
    <w:rsid w:val="00263FE7"/>
    <w:rsid w:val="00265DEC"/>
    <w:rsid w:val="00267774"/>
    <w:rsid w:val="002677DC"/>
    <w:rsid w:val="00267F35"/>
    <w:rsid w:val="00271F00"/>
    <w:rsid w:val="0027213D"/>
    <w:rsid w:val="002731DF"/>
    <w:rsid w:val="00273286"/>
    <w:rsid w:val="00273A80"/>
    <w:rsid w:val="002746BD"/>
    <w:rsid w:val="002752EB"/>
    <w:rsid w:val="00276026"/>
    <w:rsid w:val="0028166D"/>
    <w:rsid w:val="00284A9E"/>
    <w:rsid w:val="00284BC4"/>
    <w:rsid w:val="00284CEC"/>
    <w:rsid w:val="00286EEC"/>
    <w:rsid w:val="00287307"/>
    <w:rsid w:val="002877B2"/>
    <w:rsid w:val="002879D9"/>
    <w:rsid w:val="00291EE1"/>
    <w:rsid w:val="0029204E"/>
    <w:rsid w:val="00292874"/>
    <w:rsid w:val="00292990"/>
    <w:rsid w:val="0029391A"/>
    <w:rsid w:val="00293B64"/>
    <w:rsid w:val="00294BAD"/>
    <w:rsid w:val="0029631C"/>
    <w:rsid w:val="00296923"/>
    <w:rsid w:val="002A002C"/>
    <w:rsid w:val="002A0194"/>
    <w:rsid w:val="002A0EF8"/>
    <w:rsid w:val="002A17D5"/>
    <w:rsid w:val="002A1BD7"/>
    <w:rsid w:val="002A213E"/>
    <w:rsid w:val="002A279A"/>
    <w:rsid w:val="002A28F4"/>
    <w:rsid w:val="002A521C"/>
    <w:rsid w:val="002A52B2"/>
    <w:rsid w:val="002A55A8"/>
    <w:rsid w:val="002A5E9E"/>
    <w:rsid w:val="002A5F8B"/>
    <w:rsid w:val="002A706A"/>
    <w:rsid w:val="002A7996"/>
    <w:rsid w:val="002A7F6C"/>
    <w:rsid w:val="002A7F94"/>
    <w:rsid w:val="002B0125"/>
    <w:rsid w:val="002B0A57"/>
    <w:rsid w:val="002B0D8E"/>
    <w:rsid w:val="002B1910"/>
    <w:rsid w:val="002B2615"/>
    <w:rsid w:val="002B2EC4"/>
    <w:rsid w:val="002B2F98"/>
    <w:rsid w:val="002B35B2"/>
    <w:rsid w:val="002B3A4C"/>
    <w:rsid w:val="002B6C23"/>
    <w:rsid w:val="002B6CA5"/>
    <w:rsid w:val="002C285B"/>
    <w:rsid w:val="002C3FBD"/>
    <w:rsid w:val="002C6B71"/>
    <w:rsid w:val="002C6C75"/>
    <w:rsid w:val="002D1E26"/>
    <w:rsid w:val="002D2402"/>
    <w:rsid w:val="002D4BD3"/>
    <w:rsid w:val="002D58E5"/>
    <w:rsid w:val="002D6809"/>
    <w:rsid w:val="002D7DD8"/>
    <w:rsid w:val="002D7E12"/>
    <w:rsid w:val="002E086A"/>
    <w:rsid w:val="002E1C60"/>
    <w:rsid w:val="002E45D5"/>
    <w:rsid w:val="002E562D"/>
    <w:rsid w:val="002E5A92"/>
    <w:rsid w:val="002E6765"/>
    <w:rsid w:val="002E6DCE"/>
    <w:rsid w:val="002E7AB0"/>
    <w:rsid w:val="002F061E"/>
    <w:rsid w:val="002F07FE"/>
    <w:rsid w:val="002F11F4"/>
    <w:rsid w:val="002F244E"/>
    <w:rsid w:val="002F2B11"/>
    <w:rsid w:val="002F60AE"/>
    <w:rsid w:val="002F6488"/>
    <w:rsid w:val="003001BA"/>
    <w:rsid w:val="00302DA5"/>
    <w:rsid w:val="00303D8D"/>
    <w:rsid w:val="0030672E"/>
    <w:rsid w:val="00307337"/>
    <w:rsid w:val="00307FE1"/>
    <w:rsid w:val="00310E84"/>
    <w:rsid w:val="00311B54"/>
    <w:rsid w:val="00314D99"/>
    <w:rsid w:val="00315A71"/>
    <w:rsid w:val="0031608A"/>
    <w:rsid w:val="00316C85"/>
    <w:rsid w:val="00317E09"/>
    <w:rsid w:val="00320A48"/>
    <w:rsid w:val="00320B43"/>
    <w:rsid w:val="0032101E"/>
    <w:rsid w:val="003213F9"/>
    <w:rsid w:val="003220E4"/>
    <w:rsid w:val="003224A8"/>
    <w:rsid w:val="00323DBF"/>
    <w:rsid w:val="00325692"/>
    <w:rsid w:val="00325EE2"/>
    <w:rsid w:val="0033035C"/>
    <w:rsid w:val="003309A8"/>
    <w:rsid w:val="00332566"/>
    <w:rsid w:val="00332B12"/>
    <w:rsid w:val="00332FC4"/>
    <w:rsid w:val="00333B73"/>
    <w:rsid w:val="003342AE"/>
    <w:rsid w:val="00334E08"/>
    <w:rsid w:val="00335079"/>
    <w:rsid w:val="00336711"/>
    <w:rsid w:val="0033700B"/>
    <w:rsid w:val="0034019F"/>
    <w:rsid w:val="0034021B"/>
    <w:rsid w:val="00342261"/>
    <w:rsid w:val="00342743"/>
    <w:rsid w:val="00343D10"/>
    <w:rsid w:val="00344631"/>
    <w:rsid w:val="003456A3"/>
    <w:rsid w:val="00346621"/>
    <w:rsid w:val="003468AC"/>
    <w:rsid w:val="00346917"/>
    <w:rsid w:val="0034704C"/>
    <w:rsid w:val="00347841"/>
    <w:rsid w:val="00347935"/>
    <w:rsid w:val="00350DBD"/>
    <w:rsid w:val="003511F2"/>
    <w:rsid w:val="00351927"/>
    <w:rsid w:val="00351B07"/>
    <w:rsid w:val="00351B9A"/>
    <w:rsid w:val="00352C51"/>
    <w:rsid w:val="00354455"/>
    <w:rsid w:val="00354811"/>
    <w:rsid w:val="0035494D"/>
    <w:rsid w:val="00355642"/>
    <w:rsid w:val="003557A3"/>
    <w:rsid w:val="0035763F"/>
    <w:rsid w:val="00357CFA"/>
    <w:rsid w:val="0036037F"/>
    <w:rsid w:val="00360C21"/>
    <w:rsid w:val="00360CE1"/>
    <w:rsid w:val="00360CE3"/>
    <w:rsid w:val="00360DDA"/>
    <w:rsid w:val="003612C0"/>
    <w:rsid w:val="0036268A"/>
    <w:rsid w:val="00362B49"/>
    <w:rsid w:val="003632EE"/>
    <w:rsid w:val="00364841"/>
    <w:rsid w:val="00365865"/>
    <w:rsid w:val="00365F83"/>
    <w:rsid w:val="00366E34"/>
    <w:rsid w:val="00370729"/>
    <w:rsid w:val="00371B29"/>
    <w:rsid w:val="00372182"/>
    <w:rsid w:val="00372B8F"/>
    <w:rsid w:val="00373F60"/>
    <w:rsid w:val="003747C9"/>
    <w:rsid w:val="0037520F"/>
    <w:rsid w:val="00376F03"/>
    <w:rsid w:val="00377F16"/>
    <w:rsid w:val="003811DF"/>
    <w:rsid w:val="0038147D"/>
    <w:rsid w:val="0038175A"/>
    <w:rsid w:val="003817B8"/>
    <w:rsid w:val="00381AEB"/>
    <w:rsid w:val="00382579"/>
    <w:rsid w:val="00383979"/>
    <w:rsid w:val="0038485C"/>
    <w:rsid w:val="00385485"/>
    <w:rsid w:val="00385D6F"/>
    <w:rsid w:val="0038613F"/>
    <w:rsid w:val="003864A1"/>
    <w:rsid w:val="0038695E"/>
    <w:rsid w:val="003902BD"/>
    <w:rsid w:val="003916C8"/>
    <w:rsid w:val="00391769"/>
    <w:rsid w:val="003921F4"/>
    <w:rsid w:val="003953E1"/>
    <w:rsid w:val="003956B3"/>
    <w:rsid w:val="003A0BC3"/>
    <w:rsid w:val="003A0D40"/>
    <w:rsid w:val="003A15BF"/>
    <w:rsid w:val="003A3028"/>
    <w:rsid w:val="003A4C84"/>
    <w:rsid w:val="003A68BE"/>
    <w:rsid w:val="003A77A4"/>
    <w:rsid w:val="003B07FB"/>
    <w:rsid w:val="003B1524"/>
    <w:rsid w:val="003B3239"/>
    <w:rsid w:val="003B3C9D"/>
    <w:rsid w:val="003B579D"/>
    <w:rsid w:val="003B730F"/>
    <w:rsid w:val="003B78B6"/>
    <w:rsid w:val="003B78E0"/>
    <w:rsid w:val="003B7CEB"/>
    <w:rsid w:val="003C1084"/>
    <w:rsid w:val="003C13F6"/>
    <w:rsid w:val="003C1EB3"/>
    <w:rsid w:val="003C3033"/>
    <w:rsid w:val="003C3285"/>
    <w:rsid w:val="003C3479"/>
    <w:rsid w:val="003C4340"/>
    <w:rsid w:val="003C45AD"/>
    <w:rsid w:val="003C45FC"/>
    <w:rsid w:val="003C4969"/>
    <w:rsid w:val="003D0F54"/>
    <w:rsid w:val="003D24E5"/>
    <w:rsid w:val="003D3CD7"/>
    <w:rsid w:val="003D4D11"/>
    <w:rsid w:val="003D56C8"/>
    <w:rsid w:val="003D597E"/>
    <w:rsid w:val="003D6092"/>
    <w:rsid w:val="003D6112"/>
    <w:rsid w:val="003D675B"/>
    <w:rsid w:val="003D6E98"/>
    <w:rsid w:val="003D7A89"/>
    <w:rsid w:val="003D7E55"/>
    <w:rsid w:val="003D7FFB"/>
    <w:rsid w:val="003E06AB"/>
    <w:rsid w:val="003E094A"/>
    <w:rsid w:val="003E221D"/>
    <w:rsid w:val="003E263C"/>
    <w:rsid w:val="003E317A"/>
    <w:rsid w:val="003E41D5"/>
    <w:rsid w:val="003E46BA"/>
    <w:rsid w:val="003E5546"/>
    <w:rsid w:val="003E5BDB"/>
    <w:rsid w:val="003E62C8"/>
    <w:rsid w:val="003E6615"/>
    <w:rsid w:val="003E7CC1"/>
    <w:rsid w:val="003E7D22"/>
    <w:rsid w:val="003F0D62"/>
    <w:rsid w:val="003F2819"/>
    <w:rsid w:val="003F3D5F"/>
    <w:rsid w:val="003F6B1B"/>
    <w:rsid w:val="003F74C1"/>
    <w:rsid w:val="00403B99"/>
    <w:rsid w:val="0040474A"/>
    <w:rsid w:val="004058EC"/>
    <w:rsid w:val="00405B1A"/>
    <w:rsid w:val="00407241"/>
    <w:rsid w:val="004072BF"/>
    <w:rsid w:val="0040761E"/>
    <w:rsid w:val="00407692"/>
    <w:rsid w:val="00407E4A"/>
    <w:rsid w:val="00410C76"/>
    <w:rsid w:val="00410E9B"/>
    <w:rsid w:val="00411907"/>
    <w:rsid w:val="00413CA1"/>
    <w:rsid w:val="00413CA8"/>
    <w:rsid w:val="00414C9E"/>
    <w:rsid w:val="0041509F"/>
    <w:rsid w:val="00415A1E"/>
    <w:rsid w:val="00417225"/>
    <w:rsid w:val="00417EE3"/>
    <w:rsid w:val="004207EB"/>
    <w:rsid w:val="00421537"/>
    <w:rsid w:val="00424B74"/>
    <w:rsid w:val="004251B7"/>
    <w:rsid w:val="00425E20"/>
    <w:rsid w:val="004266B6"/>
    <w:rsid w:val="00426716"/>
    <w:rsid w:val="00426DA4"/>
    <w:rsid w:val="00427332"/>
    <w:rsid w:val="004276FC"/>
    <w:rsid w:val="00430276"/>
    <w:rsid w:val="00430376"/>
    <w:rsid w:val="00431360"/>
    <w:rsid w:val="00434610"/>
    <w:rsid w:val="004350DA"/>
    <w:rsid w:val="00435FA5"/>
    <w:rsid w:val="00436B8D"/>
    <w:rsid w:val="00437276"/>
    <w:rsid w:val="0044084D"/>
    <w:rsid w:val="00441270"/>
    <w:rsid w:val="0044273F"/>
    <w:rsid w:val="00442E14"/>
    <w:rsid w:val="00443006"/>
    <w:rsid w:val="004432A1"/>
    <w:rsid w:val="00444066"/>
    <w:rsid w:val="00445726"/>
    <w:rsid w:val="00447E67"/>
    <w:rsid w:val="00450B69"/>
    <w:rsid w:val="0045556F"/>
    <w:rsid w:val="00456B54"/>
    <w:rsid w:val="004574BF"/>
    <w:rsid w:val="00457D8F"/>
    <w:rsid w:val="00461D66"/>
    <w:rsid w:val="00462186"/>
    <w:rsid w:val="004625C9"/>
    <w:rsid w:val="004629A3"/>
    <w:rsid w:val="00464643"/>
    <w:rsid w:val="004646F8"/>
    <w:rsid w:val="00464726"/>
    <w:rsid w:val="0046485E"/>
    <w:rsid w:val="00466094"/>
    <w:rsid w:val="004706F8"/>
    <w:rsid w:val="00470B3A"/>
    <w:rsid w:val="0047160F"/>
    <w:rsid w:val="004718F9"/>
    <w:rsid w:val="004719E7"/>
    <w:rsid w:val="0047330F"/>
    <w:rsid w:val="004734AF"/>
    <w:rsid w:val="004750F5"/>
    <w:rsid w:val="004758B0"/>
    <w:rsid w:val="00476DBB"/>
    <w:rsid w:val="00476E7A"/>
    <w:rsid w:val="00477327"/>
    <w:rsid w:val="004776BF"/>
    <w:rsid w:val="00480118"/>
    <w:rsid w:val="00482F10"/>
    <w:rsid w:val="00483555"/>
    <w:rsid w:val="0048369B"/>
    <w:rsid w:val="00483E51"/>
    <w:rsid w:val="00484471"/>
    <w:rsid w:val="004859BA"/>
    <w:rsid w:val="00486037"/>
    <w:rsid w:val="00486793"/>
    <w:rsid w:val="00486D4D"/>
    <w:rsid w:val="00491248"/>
    <w:rsid w:val="00491446"/>
    <w:rsid w:val="004915C3"/>
    <w:rsid w:val="00494F96"/>
    <w:rsid w:val="00495371"/>
    <w:rsid w:val="004959DF"/>
    <w:rsid w:val="004A100B"/>
    <w:rsid w:val="004A15C2"/>
    <w:rsid w:val="004A2037"/>
    <w:rsid w:val="004A36A3"/>
    <w:rsid w:val="004A36B0"/>
    <w:rsid w:val="004A3981"/>
    <w:rsid w:val="004A4264"/>
    <w:rsid w:val="004A729D"/>
    <w:rsid w:val="004B027B"/>
    <w:rsid w:val="004B2382"/>
    <w:rsid w:val="004B2E74"/>
    <w:rsid w:val="004B2F12"/>
    <w:rsid w:val="004B3925"/>
    <w:rsid w:val="004B3B1B"/>
    <w:rsid w:val="004B55F1"/>
    <w:rsid w:val="004B5864"/>
    <w:rsid w:val="004B5E2E"/>
    <w:rsid w:val="004B6081"/>
    <w:rsid w:val="004B6182"/>
    <w:rsid w:val="004B7E08"/>
    <w:rsid w:val="004C0D70"/>
    <w:rsid w:val="004C2153"/>
    <w:rsid w:val="004C2CE7"/>
    <w:rsid w:val="004C42A2"/>
    <w:rsid w:val="004C4E8D"/>
    <w:rsid w:val="004C64AC"/>
    <w:rsid w:val="004D1CE7"/>
    <w:rsid w:val="004D30A6"/>
    <w:rsid w:val="004D48BA"/>
    <w:rsid w:val="004D4D6F"/>
    <w:rsid w:val="004D5B52"/>
    <w:rsid w:val="004D5DC9"/>
    <w:rsid w:val="004D6630"/>
    <w:rsid w:val="004D6821"/>
    <w:rsid w:val="004D7AA3"/>
    <w:rsid w:val="004E03F3"/>
    <w:rsid w:val="004E1FA3"/>
    <w:rsid w:val="004E217B"/>
    <w:rsid w:val="004E33B6"/>
    <w:rsid w:val="004E3A92"/>
    <w:rsid w:val="004E79BB"/>
    <w:rsid w:val="004E7E56"/>
    <w:rsid w:val="004F0F26"/>
    <w:rsid w:val="004F25E6"/>
    <w:rsid w:val="004F2CC1"/>
    <w:rsid w:val="004F3DB7"/>
    <w:rsid w:val="004F4F98"/>
    <w:rsid w:val="004F509C"/>
    <w:rsid w:val="004F69F6"/>
    <w:rsid w:val="004F6A86"/>
    <w:rsid w:val="004F78F4"/>
    <w:rsid w:val="004F79AC"/>
    <w:rsid w:val="00500366"/>
    <w:rsid w:val="00500AD1"/>
    <w:rsid w:val="005017CF"/>
    <w:rsid w:val="00502A6E"/>
    <w:rsid w:val="0050398D"/>
    <w:rsid w:val="005062FD"/>
    <w:rsid w:val="00507E3F"/>
    <w:rsid w:val="005102FD"/>
    <w:rsid w:val="00515073"/>
    <w:rsid w:val="00516215"/>
    <w:rsid w:val="0051653E"/>
    <w:rsid w:val="005168B4"/>
    <w:rsid w:val="00517724"/>
    <w:rsid w:val="00517A19"/>
    <w:rsid w:val="005207D8"/>
    <w:rsid w:val="00521ADE"/>
    <w:rsid w:val="00521F70"/>
    <w:rsid w:val="0052216A"/>
    <w:rsid w:val="00522636"/>
    <w:rsid w:val="00525B86"/>
    <w:rsid w:val="0052650B"/>
    <w:rsid w:val="00530211"/>
    <w:rsid w:val="00530C27"/>
    <w:rsid w:val="00530DC1"/>
    <w:rsid w:val="0053216A"/>
    <w:rsid w:val="005328CB"/>
    <w:rsid w:val="005329DA"/>
    <w:rsid w:val="005343AF"/>
    <w:rsid w:val="0053464E"/>
    <w:rsid w:val="00535ECA"/>
    <w:rsid w:val="005367FA"/>
    <w:rsid w:val="00543F78"/>
    <w:rsid w:val="0054608F"/>
    <w:rsid w:val="00547462"/>
    <w:rsid w:val="00547853"/>
    <w:rsid w:val="00550DF7"/>
    <w:rsid w:val="0055185D"/>
    <w:rsid w:val="00551886"/>
    <w:rsid w:val="0055288B"/>
    <w:rsid w:val="00553969"/>
    <w:rsid w:val="00553CCD"/>
    <w:rsid w:val="005551B3"/>
    <w:rsid w:val="00555435"/>
    <w:rsid w:val="005565E5"/>
    <w:rsid w:val="00562917"/>
    <w:rsid w:val="00563AF1"/>
    <w:rsid w:val="00564ABE"/>
    <w:rsid w:val="00564C2E"/>
    <w:rsid w:val="005651C4"/>
    <w:rsid w:val="00565402"/>
    <w:rsid w:val="00566AD1"/>
    <w:rsid w:val="0056701E"/>
    <w:rsid w:val="00570ABC"/>
    <w:rsid w:val="0057134D"/>
    <w:rsid w:val="00572E24"/>
    <w:rsid w:val="00574489"/>
    <w:rsid w:val="00575AB3"/>
    <w:rsid w:val="005766AC"/>
    <w:rsid w:val="00577E16"/>
    <w:rsid w:val="005804A4"/>
    <w:rsid w:val="0058235A"/>
    <w:rsid w:val="00582FC2"/>
    <w:rsid w:val="00583FAB"/>
    <w:rsid w:val="005844AE"/>
    <w:rsid w:val="00584F9C"/>
    <w:rsid w:val="00585729"/>
    <w:rsid w:val="00586228"/>
    <w:rsid w:val="005864E8"/>
    <w:rsid w:val="00587158"/>
    <w:rsid w:val="005871B6"/>
    <w:rsid w:val="00587E65"/>
    <w:rsid w:val="00590519"/>
    <w:rsid w:val="00591A2B"/>
    <w:rsid w:val="00592A74"/>
    <w:rsid w:val="0059498B"/>
    <w:rsid w:val="005961AB"/>
    <w:rsid w:val="00597A20"/>
    <w:rsid w:val="005A1A8D"/>
    <w:rsid w:val="005A3465"/>
    <w:rsid w:val="005A35DE"/>
    <w:rsid w:val="005A4FAF"/>
    <w:rsid w:val="005A5CEC"/>
    <w:rsid w:val="005A7F8F"/>
    <w:rsid w:val="005B48C2"/>
    <w:rsid w:val="005B5ED7"/>
    <w:rsid w:val="005B615C"/>
    <w:rsid w:val="005B6AF4"/>
    <w:rsid w:val="005B7486"/>
    <w:rsid w:val="005C04CB"/>
    <w:rsid w:val="005C4110"/>
    <w:rsid w:val="005C6320"/>
    <w:rsid w:val="005C64F1"/>
    <w:rsid w:val="005C71BA"/>
    <w:rsid w:val="005D16AD"/>
    <w:rsid w:val="005D1BA1"/>
    <w:rsid w:val="005D21C4"/>
    <w:rsid w:val="005D2474"/>
    <w:rsid w:val="005D3B2B"/>
    <w:rsid w:val="005D552F"/>
    <w:rsid w:val="005D5B4F"/>
    <w:rsid w:val="005D6C0C"/>
    <w:rsid w:val="005D72E1"/>
    <w:rsid w:val="005E1516"/>
    <w:rsid w:val="005E1A80"/>
    <w:rsid w:val="005E1D77"/>
    <w:rsid w:val="005E252D"/>
    <w:rsid w:val="005E3564"/>
    <w:rsid w:val="005E41A2"/>
    <w:rsid w:val="005E484F"/>
    <w:rsid w:val="005E53F7"/>
    <w:rsid w:val="005E6E16"/>
    <w:rsid w:val="005F1D09"/>
    <w:rsid w:val="005F1DF1"/>
    <w:rsid w:val="005F23FA"/>
    <w:rsid w:val="005F400E"/>
    <w:rsid w:val="005F4A55"/>
    <w:rsid w:val="005F5218"/>
    <w:rsid w:val="005F6087"/>
    <w:rsid w:val="005F68A0"/>
    <w:rsid w:val="005F7342"/>
    <w:rsid w:val="005F75EC"/>
    <w:rsid w:val="005F7E55"/>
    <w:rsid w:val="00603A08"/>
    <w:rsid w:val="00604ADC"/>
    <w:rsid w:val="00606AB9"/>
    <w:rsid w:val="00606C16"/>
    <w:rsid w:val="00606C88"/>
    <w:rsid w:val="006075FC"/>
    <w:rsid w:val="006103F7"/>
    <w:rsid w:val="006103FB"/>
    <w:rsid w:val="00610A3C"/>
    <w:rsid w:val="00611776"/>
    <w:rsid w:val="0061203E"/>
    <w:rsid w:val="00612555"/>
    <w:rsid w:val="00612AE5"/>
    <w:rsid w:val="006138D8"/>
    <w:rsid w:val="00616DBB"/>
    <w:rsid w:val="006176E4"/>
    <w:rsid w:val="00617E0B"/>
    <w:rsid w:val="0062030A"/>
    <w:rsid w:val="0062039E"/>
    <w:rsid w:val="00627C52"/>
    <w:rsid w:val="00627F48"/>
    <w:rsid w:val="00631F71"/>
    <w:rsid w:val="00631FCC"/>
    <w:rsid w:val="00633ACA"/>
    <w:rsid w:val="00636084"/>
    <w:rsid w:val="00637D25"/>
    <w:rsid w:val="00641DA8"/>
    <w:rsid w:val="00642A47"/>
    <w:rsid w:val="00642BC8"/>
    <w:rsid w:val="006437EA"/>
    <w:rsid w:val="00643806"/>
    <w:rsid w:val="00643D3A"/>
    <w:rsid w:val="00646277"/>
    <w:rsid w:val="00646C2D"/>
    <w:rsid w:val="00647756"/>
    <w:rsid w:val="00654854"/>
    <w:rsid w:val="00654F54"/>
    <w:rsid w:val="006550C9"/>
    <w:rsid w:val="006560CD"/>
    <w:rsid w:val="0065615D"/>
    <w:rsid w:val="00656BAE"/>
    <w:rsid w:val="0065763A"/>
    <w:rsid w:val="00661F6B"/>
    <w:rsid w:val="00663FCF"/>
    <w:rsid w:val="006652A2"/>
    <w:rsid w:val="00665D20"/>
    <w:rsid w:val="006674CE"/>
    <w:rsid w:val="00672793"/>
    <w:rsid w:val="00672A8D"/>
    <w:rsid w:val="00675C18"/>
    <w:rsid w:val="006767B5"/>
    <w:rsid w:val="00676B68"/>
    <w:rsid w:val="006774C3"/>
    <w:rsid w:val="0068150D"/>
    <w:rsid w:val="00681754"/>
    <w:rsid w:val="00683DC0"/>
    <w:rsid w:val="0068465C"/>
    <w:rsid w:val="00684800"/>
    <w:rsid w:val="00687390"/>
    <w:rsid w:val="006874AD"/>
    <w:rsid w:val="00690D20"/>
    <w:rsid w:val="00693320"/>
    <w:rsid w:val="006937FF"/>
    <w:rsid w:val="006944BB"/>
    <w:rsid w:val="006965BF"/>
    <w:rsid w:val="00696B0B"/>
    <w:rsid w:val="006A1903"/>
    <w:rsid w:val="006A3507"/>
    <w:rsid w:val="006A38C7"/>
    <w:rsid w:val="006A4164"/>
    <w:rsid w:val="006A4216"/>
    <w:rsid w:val="006A48A7"/>
    <w:rsid w:val="006A6281"/>
    <w:rsid w:val="006A6524"/>
    <w:rsid w:val="006A72A1"/>
    <w:rsid w:val="006B0189"/>
    <w:rsid w:val="006B0438"/>
    <w:rsid w:val="006B0465"/>
    <w:rsid w:val="006B289A"/>
    <w:rsid w:val="006B2CF6"/>
    <w:rsid w:val="006B4775"/>
    <w:rsid w:val="006B4BA1"/>
    <w:rsid w:val="006B56DE"/>
    <w:rsid w:val="006C127B"/>
    <w:rsid w:val="006C28E2"/>
    <w:rsid w:val="006C2FF9"/>
    <w:rsid w:val="006C3BA3"/>
    <w:rsid w:val="006C4183"/>
    <w:rsid w:val="006C5965"/>
    <w:rsid w:val="006C5CF5"/>
    <w:rsid w:val="006C63DB"/>
    <w:rsid w:val="006D1AC4"/>
    <w:rsid w:val="006D20EA"/>
    <w:rsid w:val="006D284E"/>
    <w:rsid w:val="006D461B"/>
    <w:rsid w:val="006D5246"/>
    <w:rsid w:val="006D6323"/>
    <w:rsid w:val="006D682F"/>
    <w:rsid w:val="006D70B1"/>
    <w:rsid w:val="006E0331"/>
    <w:rsid w:val="006E2E21"/>
    <w:rsid w:val="006E2E58"/>
    <w:rsid w:val="006E5547"/>
    <w:rsid w:val="006E71D1"/>
    <w:rsid w:val="006F0646"/>
    <w:rsid w:val="006F0ECF"/>
    <w:rsid w:val="006F1173"/>
    <w:rsid w:val="006F19F3"/>
    <w:rsid w:val="006F23DB"/>
    <w:rsid w:val="006F2413"/>
    <w:rsid w:val="006F2CD1"/>
    <w:rsid w:val="006F4717"/>
    <w:rsid w:val="006F4A82"/>
    <w:rsid w:val="006F53E9"/>
    <w:rsid w:val="006F71B2"/>
    <w:rsid w:val="00700239"/>
    <w:rsid w:val="007007C2"/>
    <w:rsid w:val="00702CEB"/>
    <w:rsid w:val="0070307B"/>
    <w:rsid w:val="0070373B"/>
    <w:rsid w:val="007037E6"/>
    <w:rsid w:val="007045CD"/>
    <w:rsid w:val="00704D9D"/>
    <w:rsid w:val="007051B6"/>
    <w:rsid w:val="007059D3"/>
    <w:rsid w:val="00705A37"/>
    <w:rsid w:val="00705ECE"/>
    <w:rsid w:val="00707E72"/>
    <w:rsid w:val="007113EB"/>
    <w:rsid w:val="00711D50"/>
    <w:rsid w:val="0071302F"/>
    <w:rsid w:val="007150DE"/>
    <w:rsid w:val="007166FA"/>
    <w:rsid w:val="00720927"/>
    <w:rsid w:val="00721368"/>
    <w:rsid w:val="0072304A"/>
    <w:rsid w:val="00723094"/>
    <w:rsid w:val="00724FA4"/>
    <w:rsid w:val="0072561D"/>
    <w:rsid w:val="00725CA2"/>
    <w:rsid w:val="0072639F"/>
    <w:rsid w:val="0072666D"/>
    <w:rsid w:val="00726BB8"/>
    <w:rsid w:val="00726D38"/>
    <w:rsid w:val="007270AA"/>
    <w:rsid w:val="00730800"/>
    <w:rsid w:val="0073459C"/>
    <w:rsid w:val="0073470C"/>
    <w:rsid w:val="00734C46"/>
    <w:rsid w:val="00735B11"/>
    <w:rsid w:val="00737040"/>
    <w:rsid w:val="00737883"/>
    <w:rsid w:val="00737902"/>
    <w:rsid w:val="0074086C"/>
    <w:rsid w:val="0074158C"/>
    <w:rsid w:val="00741EFE"/>
    <w:rsid w:val="00742598"/>
    <w:rsid w:val="007431B2"/>
    <w:rsid w:val="00743207"/>
    <w:rsid w:val="007437BF"/>
    <w:rsid w:val="007448AF"/>
    <w:rsid w:val="00746BC2"/>
    <w:rsid w:val="0074764F"/>
    <w:rsid w:val="007501DD"/>
    <w:rsid w:val="00750BD2"/>
    <w:rsid w:val="00751319"/>
    <w:rsid w:val="007518C7"/>
    <w:rsid w:val="00751CD5"/>
    <w:rsid w:val="00753491"/>
    <w:rsid w:val="00755454"/>
    <w:rsid w:val="0076017D"/>
    <w:rsid w:val="007602AA"/>
    <w:rsid w:val="007602E5"/>
    <w:rsid w:val="007603D0"/>
    <w:rsid w:val="00761005"/>
    <w:rsid w:val="007618DB"/>
    <w:rsid w:val="00763BFB"/>
    <w:rsid w:val="007647FF"/>
    <w:rsid w:val="007652EF"/>
    <w:rsid w:val="007660DB"/>
    <w:rsid w:val="0077020F"/>
    <w:rsid w:val="0077298C"/>
    <w:rsid w:val="00772BDC"/>
    <w:rsid w:val="00773582"/>
    <w:rsid w:val="007741B6"/>
    <w:rsid w:val="0077602E"/>
    <w:rsid w:val="00777805"/>
    <w:rsid w:val="00780792"/>
    <w:rsid w:val="00780FB6"/>
    <w:rsid w:val="007818CA"/>
    <w:rsid w:val="00782309"/>
    <w:rsid w:val="00785912"/>
    <w:rsid w:val="007872F6"/>
    <w:rsid w:val="00790FEC"/>
    <w:rsid w:val="007925BD"/>
    <w:rsid w:val="007930DC"/>
    <w:rsid w:val="007939C0"/>
    <w:rsid w:val="00794B9B"/>
    <w:rsid w:val="00794BC6"/>
    <w:rsid w:val="00797FCC"/>
    <w:rsid w:val="007A0FF7"/>
    <w:rsid w:val="007A248B"/>
    <w:rsid w:val="007A3B3D"/>
    <w:rsid w:val="007A44B4"/>
    <w:rsid w:val="007A4773"/>
    <w:rsid w:val="007A4A3F"/>
    <w:rsid w:val="007A7D3D"/>
    <w:rsid w:val="007B207B"/>
    <w:rsid w:val="007B2140"/>
    <w:rsid w:val="007B225D"/>
    <w:rsid w:val="007B2C8C"/>
    <w:rsid w:val="007B3E34"/>
    <w:rsid w:val="007B5B19"/>
    <w:rsid w:val="007B63D1"/>
    <w:rsid w:val="007C0128"/>
    <w:rsid w:val="007C0795"/>
    <w:rsid w:val="007C174F"/>
    <w:rsid w:val="007C1C64"/>
    <w:rsid w:val="007C1CF9"/>
    <w:rsid w:val="007C2AFF"/>
    <w:rsid w:val="007C3C65"/>
    <w:rsid w:val="007C56BB"/>
    <w:rsid w:val="007C68F9"/>
    <w:rsid w:val="007C72BA"/>
    <w:rsid w:val="007C73AC"/>
    <w:rsid w:val="007D13B9"/>
    <w:rsid w:val="007D25F3"/>
    <w:rsid w:val="007D2D61"/>
    <w:rsid w:val="007D3006"/>
    <w:rsid w:val="007D3479"/>
    <w:rsid w:val="007D35FC"/>
    <w:rsid w:val="007D463E"/>
    <w:rsid w:val="007D4D71"/>
    <w:rsid w:val="007D6113"/>
    <w:rsid w:val="007D7093"/>
    <w:rsid w:val="007D751F"/>
    <w:rsid w:val="007D7B56"/>
    <w:rsid w:val="007E17EB"/>
    <w:rsid w:val="007E48BC"/>
    <w:rsid w:val="007E4F7D"/>
    <w:rsid w:val="007E4FD5"/>
    <w:rsid w:val="007E6212"/>
    <w:rsid w:val="007E79F7"/>
    <w:rsid w:val="007F219E"/>
    <w:rsid w:val="007F22B3"/>
    <w:rsid w:val="007F35C9"/>
    <w:rsid w:val="007F3630"/>
    <w:rsid w:val="007F4447"/>
    <w:rsid w:val="007F51DA"/>
    <w:rsid w:val="007F5271"/>
    <w:rsid w:val="007F6D9C"/>
    <w:rsid w:val="007F71DE"/>
    <w:rsid w:val="00800098"/>
    <w:rsid w:val="008015C7"/>
    <w:rsid w:val="00802775"/>
    <w:rsid w:val="008027C8"/>
    <w:rsid w:val="00802D95"/>
    <w:rsid w:val="008058F6"/>
    <w:rsid w:val="00807559"/>
    <w:rsid w:val="0081096E"/>
    <w:rsid w:val="00811535"/>
    <w:rsid w:val="00811E88"/>
    <w:rsid w:val="0081270C"/>
    <w:rsid w:val="00814A20"/>
    <w:rsid w:val="00814CC6"/>
    <w:rsid w:val="00815826"/>
    <w:rsid w:val="00815B45"/>
    <w:rsid w:val="008166C6"/>
    <w:rsid w:val="00822479"/>
    <w:rsid w:val="00822B4C"/>
    <w:rsid w:val="00823692"/>
    <w:rsid w:val="00823B63"/>
    <w:rsid w:val="008247D2"/>
    <w:rsid w:val="008248ED"/>
    <w:rsid w:val="00827F21"/>
    <w:rsid w:val="008301BB"/>
    <w:rsid w:val="00831623"/>
    <w:rsid w:val="008327EE"/>
    <w:rsid w:val="00833EA9"/>
    <w:rsid w:val="00834D22"/>
    <w:rsid w:val="00834F85"/>
    <w:rsid w:val="008366B8"/>
    <w:rsid w:val="00836786"/>
    <w:rsid w:val="00836BF9"/>
    <w:rsid w:val="00836DFC"/>
    <w:rsid w:val="0083771E"/>
    <w:rsid w:val="00840F98"/>
    <w:rsid w:val="00841D14"/>
    <w:rsid w:val="00842ABA"/>
    <w:rsid w:val="00844AC2"/>
    <w:rsid w:val="008450BC"/>
    <w:rsid w:val="008457C2"/>
    <w:rsid w:val="00847EEB"/>
    <w:rsid w:val="00850AEA"/>
    <w:rsid w:val="0085334B"/>
    <w:rsid w:val="00853C00"/>
    <w:rsid w:val="00853DF1"/>
    <w:rsid w:val="00853E81"/>
    <w:rsid w:val="00854D78"/>
    <w:rsid w:val="00855231"/>
    <w:rsid w:val="0085541D"/>
    <w:rsid w:val="0085593D"/>
    <w:rsid w:val="00856BA7"/>
    <w:rsid w:val="00857322"/>
    <w:rsid w:val="008606C5"/>
    <w:rsid w:val="00863F8D"/>
    <w:rsid w:val="00866044"/>
    <w:rsid w:val="00866363"/>
    <w:rsid w:val="00866F09"/>
    <w:rsid w:val="00867763"/>
    <w:rsid w:val="00870214"/>
    <w:rsid w:val="00870951"/>
    <w:rsid w:val="00870CA9"/>
    <w:rsid w:val="00871205"/>
    <w:rsid w:val="008718FA"/>
    <w:rsid w:val="00871BE4"/>
    <w:rsid w:val="008734B0"/>
    <w:rsid w:val="00873B85"/>
    <w:rsid w:val="00874E9D"/>
    <w:rsid w:val="008762E3"/>
    <w:rsid w:val="00876515"/>
    <w:rsid w:val="00877CB8"/>
    <w:rsid w:val="008800C9"/>
    <w:rsid w:val="0088024A"/>
    <w:rsid w:val="00881F78"/>
    <w:rsid w:val="00882041"/>
    <w:rsid w:val="00884995"/>
    <w:rsid w:val="00884B6E"/>
    <w:rsid w:val="00885C51"/>
    <w:rsid w:val="00885EB0"/>
    <w:rsid w:val="008860D9"/>
    <w:rsid w:val="00887520"/>
    <w:rsid w:val="00887A4B"/>
    <w:rsid w:val="0089264A"/>
    <w:rsid w:val="00893EB8"/>
    <w:rsid w:val="00894581"/>
    <w:rsid w:val="00895FC3"/>
    <w:rsid w:val="00896B85"/>
    <w:rsid w:val="0089766D"/>
    <w:rsid w:val="008A05F5"/>
    <w:rsid w:val="008A127E"/>
    <w:rsid w:val="008A22BE"/>
    <w:rsid w:val="008A22EE"/>
    <w:rsid w:val="008A28F9"/>
    <w:rsid w:val="008A2D07"/>
    <w:rsid w:val="008A35FB"/>
    <w:rsid w:val="008A4617"/>
    <w:rsid w:val="008A5495"/>
    <w:rsid w:val="008A65B0"/>
    <w:rsid w:val="008A6C0B"/>
    <w:rsid w:val="008A7CD0"/>
    <w:rsid w:val="008B28A7"/>
    <w:rsid w:val="008B2D20"/>
    <w:rsid w:val="008B4835"/>
    <w:rsid w:val="008B7E5B"/>
    <w:rsid w:val="008C029F"/>
    <w:rsid w:val="008C13B1"/>
    <w:rsid w:val="008C1B36"/>
    <w:rsid w:val="008C23FB"/>
    <w:rsid w:val="008C285A"/>
    <w:rsid w:val="008C3B38"/>
    <w:rsid w:val="008C6B02"/>
    <w:rsid w:val="008C6F5E"/>
    <w:rsid w:val="008C7099"/>
    <w:rsid w:val="008D06C6"/>
    <w:rsid w:val="008D120A"/>
    <w:rsid w:val="008D37F5"/>
    <w:rsid w:val="008D56A9"/>
    <w:rsid w:val="008D764F"/>
    <w:rsid w:val="008E068C"/>
    <w:rsid w:val="008E25AB"/>
    <w:rsid w:val="008E3559"/>
    <w:rsid w:val="008E4C63"/>
    <w:rsid w:val="008E4F15"/>
    <w:rsid w:val="008E568C"/>
    <w:rsid w:val="008E59A6"/>
    <w:rsid w:val="008E6250"/>
    <w:rsid w:val="008E695C"/>
    <w:rsid w:val="008E706C"/>
    <w:rsid w:val="008F0106"/>
    <w:rsid w:val="008F0B47"/>
    <w:rsid w:val="008F13A1"/>
    <w:rsid w:val="008F3A28"/>
    <w:rsid w:val="008F4351"/>
    <w:rsid w:val="008F4828"/>
    <w:rsid w:val="008F5A39"/>
    <w:rsid w:val="008F5CC2"/>
    <w:rsid w:val="008F662A"/>
    <w:rsid w:val="008F733A"/>
    <w:rsid w:val="009003BE"/>
    <w:rsid w:val="00900E47"/>
    <w:rsid w:val="0090167B"/>
    <w:rsid w:val="0090250A"/>
    <w:rsid w:val="00902AF6"/>
    <w:rsid w:val="00903B4F"/>
    <w:rsid w:val="00904D8D"/>
    <w:rsid w:val="00906597"/>
    <w:rsid w:val="00906BEB"/>
    <w:rsid w:val="0090733F"/>
    <w:rsid w:val="009101DC"/>
    <w:rsid w:val="00910611"/>
    <w:rsid w:val="009120CD"/>
    <w:rsid w:val="009132F3"/>
    <w:rsid w:val="00913635"/>
    <w:rsid w:val="00914030"/>
    <w:rsid w:val="00915E20"/>
    <w:rsid w:val="009163F4"/>
    <w:rsid w:val="00920249"/>
    <w:rsid w:val="009204DA"/>
    <w:rsid w:val="00920E8E"/>
    <w:rsid w:val="009217D5"/>
    <w:rsid w:val="009246AA"/>
    <w:rsid w:val="00924C80"/>
    <w:rsid w:val="00924F86"/>
    <w:rsid w:val="009255F0"/>
    <w:rsid w:val="00926452"/>
    <w:rsid w:val="0092695A"/>
    <w:rsid w:val="00927F97"/>
    <w:rsid w:val="00932F14"/>
    <w:rsid w:val="00933EFF"/>
    <w:rsid w:val="00934158"/>
    <w:rsid w:val="009343EC"/>
    <w:rsid w:val="0093668D"/>
    <w:rsid w:val="00936887"/>
    <w:rsid w:val="00936A55"/>
    <w:rsid w:val="00936DC0"/>
    <w:rsid w:val="00937BB8"/>
    <w:rsid w:val="00940442"/>
    <w:rsid w:val="00942399"/>
    <w:rsid w:val="0094247F"/>
    <w:rsid w:val="00942D60"/>
    <w:rsid w:val="00943255"/>
    <w:rsid w:val="0094363C"/>
    <w:rsid w:val="00944BA4"/>
    <w:rsid w:val="00946D74"/>
    <w:rsid w:val="009473E2"/>
    <w:rsid w:val="009474F4"/>
    <w:rsid w:val="00950D4A"/>
    <w:rsid w:val="0095319D"/>
    <w:rsid w:val="009547E4"/>
    <w:rsid w:val="009554AB"/>
    <w:rsid w:val="009556F4"/>
    <w:rsid w:val="00955C7E"/>
    <w:rsid w:val="00957BBD"/>
    <w:rsid w:val="009610EC"/>
    <w:rsid w:val="00962BC0"/>
    <w:rsid w:val="00963C78"/>
    <w:rsid w:val="00964A4C"/>
    <w:rsid w:val="0096523B"/>
    <w:rsid w:val="009653A4"/>
    <w:rsid w:val="00965AA1"/>
    <w:rsid w:val="00966EE3"/>
    <w:rsid w:val="00970140"/>
    <w:rsid w:val="009704A7"/>
    <w:rsid w:val="009726C7"/>
    <w:rsid w:val="00972D06"/>
    <w:rsid w:val="0097383E"/>
    <w:rsid w:val="00974340"/>
    <w:rsid w:val="00974FBC"/>
    <w:rsid w:val="00975D2D"/>
    <w:rsid w:val="00977C32"/>
    <w:rsid w:val="009807E3"/>
    <w:rsid w:val="009810B9"/>
    <w:rsid w:val="0098223B"/>
    <w:rsid w:val="00983407"/>
    <w:rsid w:val="00984B3C"/>
    <w:rsid w:val="0098530E"/>
    <w:rsid w:val="00990124"/>
    <w:rsid w:val="009905D5"/>
    <w:rsid w:val="009917AD"/>
    <w:rsid w:val="00994986"/>
    <w:rsid w:val="009952E9"/>
    <w:rsid w:val="00995446"/>
    <w:rsid w:val="009A0AD8"/>
    <w:rsid w:val="009A13AE"/>
    <w:rsid w:val="009A18B4"/>
    <w:rsid w:val="009A3214"/>
    <w:rsid w:val="009A391C"/>
    <w:rsid w:val="009A3B04"/>
    <w:rsid w:val="009A3BFB"/>
    <w:rsid w:val="009A4329"/>
    <w:rsid w:val="009A50F2"/>
    <w:rsid w:val="009A634E"/>
    <w:rsid w:val="009A6A34"/>
    <w:rsid w:val="009A6BFE"/>
    <w:rsid w:val="009B3117"/>
    <w:rsid w:val="009B3D00"/>
    <w:rsid w:val="009B3D4E"/>
    <w:rsid w:val="009C1187"/>
    <w:rsid w:val="009C3279"/>
    <w:rsid w:val="009C4322"/>
    <w:rsid w:val="009C4E22"/>
    <w:rsid w:val="009C762B"/>
    <w:rsid w:val="009D0775"/>
    <w:rsid w:val="009D0FEE"/>
    <w:rsid w:val="009D2ED2"/>
    <w:rsid w:val="009D4494"/>
    <w:rsid w:val="009D4507"/>
    <w:rsid w:val="009D50FF"/>
    <w:rsid w:val="009D5C73"/>
    <w:rsid w:val="009D6BD6"/>
    <w:rsid w:val="009D790B"/>
    <w:rsid w:val="009E0A61"/>
    <w:rsid w:val="009E169A"/>
    <w:rsid w:val="009E29CA"/>
    <w:rsid w:val="009E3010"/>
    <w:rsid w:val="009E3205"/>
    <w:rsid w:val="009E40C3"/>
    <w:rsid w:val="009E5A0B"/>
    <w:rsid w:val="009E669E"/>
    <w:rsid w:val="009F007E"/>
    <w:rsid w:val="009F0162"/>
    <w:rsid w:val="009F19FD"/>
    <w:rsid w:val="009F23FC"/>
    <w:rsid w:val="009F7065"/>
    <w:rsid w:val="00A010D2"/>
    <w:rsid w:val="00A02DC1"/>
    <w:rsid w:val="00A0307F"/>
    <w:rsid w:val="00A0367C"/>
    <w:rsid w:val="00A03B91"/>
    <w:rsid w:val="00A0459D"/>
    <w:rsid w:val="00A05E6C"/>
    <w:rsid w:val="00A10606"/>
    <w:rsid w:val="00A12B44"/>
    <w:rsid w:val="00A148DB"/>
    <w:rsid w:val="00A16552"/>
    <w:rsid w:val="00A20EF2"/>
    <w:rsid w:val="00A225B7"/>
    <w:rsid w:val="00A274FB"/>
    <w:rsid w:val="00A30AD6"/>
    <w:rsid w:val="00A33754"/>
    <w:rsid w:val="00A346AC"/>
    <w:rsid w:val="00A34980"/>
    <w:rsid w:val="00A3517A"/>
    <w:rsid w:val="00A400BF"/>
    <w:rsid w:val="00A4057C"/>
    <w:rsid w:val="00A408C8"/>
    <w:rsid w:val="00A41653"/>
    <w:rsid w:val="00A4166F"/>
    <w:rsid w:val="00A4175D"/>
    <w:rsid w:val="00A41776"/>
    <w:rsid w:val="00A41AC5"/>
    <w:rsid w:val="00A43A40"/>
    <w:rsid w:val="00A43BEC"/>
    <w:rsid w:val="00A447F9"/>
    <w:rsid w:val="00A44980"/>
    <w:rsid w:val="00A4510D"/>
    <w:rsid w:val="00A4513F"/>
    <w:rsid w:val="00A4521F"/>
    <w:rsid w:val="00A45291"/>
    <w:rsid w:val="00A45BFC"/>
    <w:rsid w:val="00A46216"/>
    <w:rsid w:val="00A46760"/>
    <w:rsid w:val="00A52E47"/>
    <w:rsid w:val="00A53D0A"/>
    <w:rsid w:val="00A54934"/>
    <w:rsid w:val="00A55AE6"/>
    <w:rsid w:val="00A56DC7"/>
    <w:rsid w:val="00A56E34"/>
    <w:rsid w:val="00A5759D"/>
    <w:rsid w:val="00A57692"/>
    <w:rsid w:val="00A63985"/>
    <w:rsid w:val="00A64682"/>
    <w:rsid w:val="00A6498A"/>
    <w:rsid w:val="00A6560D"/>
    <w:rsid w:val="00A656F2"/>
    <w:rsid w:val="00A65FC5"/>
    <w:rsid w:val="00A67438"/>
    <w:rsid w:val="00A67555"/>
    <w:rsid w:val="00A676AD"/>
    <w:rsid w:val="00A67F08"/>
    <w:rsid w:val="00A70FC5"/>
    <w:rsid w:val="00A70FDE"/>
    <w:rsid w:val="00A72981"/>
    <w:rsid w:val="00A74195"/>
    <w:rsid w:val="00A74F9A"/>
    <w:rsid w:val="00A74FD1"/>
    <w:rsid w:val="00A7517B"/>
    <w:rsid w:val="00A75DE0"/>
    <w:rsid w:val="00A7606E"/>
    <w:rsid w:val="00A77F1B"/>
    <w:rsid w:val="00A81202"/>
    <w:rsid w:val="00A81D31"/>
    <w:rsid w:val="00A8301D"/>
    <w:rsid w:val="00A835BE"/>
    <w:rsid w:val="00A84362"/>
    <w:rsid w:val="00A84A58"/>
    <w:rsid w:val="00A85783"/>
    <w:rsid w:val="00A858F4"/>
    <w:rsid w:val="00A8636A"/>
    <w:rsid w:val="00A8662C"/>
    <w:rsid w:val="00A91DF1"/>
    <w:rsid w:val="00A94626"/>
    <w:rsid w:val="00A94DAA"/>
    <w:rsid w:val="00A96A41"/>
    <w:rsid w:val="00A97036"/>
    <w:rsid w:val="00A975D6"/>
    <w:rsid w:val="00A97AC1"/>
    <w:rsid w:val="00AA03DF"/>
    <w:rsid w:val="00AA1045"/>
    <w:rsid w:val="00AA180A"/>
    <w:rsid w:val="00AA2A12"/>
    <w:rsid w:val="00AA2A23"/>
    <w:rsid w:val="00AA55A8"/>
    <w:rsid w:val="00AA577A"/>
    <w:rsid w:val="00AB0FF0"/>
    <w:rsid w:val="00AB1353"/>
    <w:rsid w:val="00AB208A"/>
    <w:rsid w:val="00AB2B8E"/>
    <w:rsid w:val="00AB4BD3"/>
    <w:rsid w:val="00AB4F95"/>
    <w:rsid w:val="00AB58E5"/>
    <w:rsid w:val="00AB5BAF"/>
    <w:rsid w:val="00AC015B"/>
    <w:rsid w:val="00AC0D5A"/>
    <w:rsid w:val="00AC0E9C"/>
    <w:rsid w:val="00AC266C"/>
    <w:rsid w:val="00AC3A19"/>
    <w:rsid w:val="00AC4D1E"/>
    <w:rsid w:val="00AC6D70"/>
    <w:rsid w:val="00AC7512"/>
    <w:rsid w:val="00AC782C"/>
    <w:rsid w:val="00AD025E"/>
    <w:rsid w:val="00AD0333"/>
    <w:rsid w:val="00AD1DD3"/>
    <w:rsid w:val="00AD22F9"/>
    <w:rsid w:val="00AD2597"/>
    <w:rsid w:val="00AD5C36"/>
    <w:rsid w:val="00AD63A9"/>
    <w:rsid w:val="00AD6782"/>
    <w:rsid w:val="00AD7100"/>
    <w:rsid w:val="00AD7A3D"/>
    <w:rsid w:val="00AD7D08"/>
    <w:rsid w:val="00AE0575"/>
    <w:rsid w:val="00AE20EB"/>
    <w:rsid w:val="00AE2117"/>
    <w:rsid w:val="00AE21AE"/>
    <w:rsid w:val="00AE2414"/>
    <w:rsid w:val="00AE268D"/>
    <w:rsid w:val="00AE565A"/>
    <w:rsid w:val="00AE6081"/>
    <w:rsid w:val="00AE6131"/>
    <w:rsid w:val="00AE766D"/>
    <w:rsid w:val="00AF06FC"/>
    <w:rsid w:val="00AF0CB1"/>
    <w:rsid w:val="00AF1152"/>
    <w:rsid w:val="00AF1E67"/>
    <w:rsid w:val="00AF3391"/>
    <w:rsid w:val="00AF387F"/>
    <w:rsid w:val="00AF40D4"/>
    <w:rsid w:val="00AF4F6D"/>
    <w:rsid w:val="00AF5692"/>
    <w:rsid w:val="00B00E7F"/>
    <w:rsid w:val="00B0161B"/>
    <w:rsid w:val="00B03232"/>
    <w:rsid w:val="00B033EE"/>
    <w:rsid w:val="00B0376D"/>
    <w:rsid w:val="00B045E9"/>
    <w:rsid w:val="00B046E8"/>
    <w:rsid w:val="00B04E54"/>
    <w:rsid w:val="00B12036"/>
    <w:rsid w:val="00B1227F"/>
    <w:rsid w:val="00B12B1E"/>
    <w:rsid w:val="00B147E4"/>
    <w:rsid w:val="00B155D2"/>
    <w:rsid w:val="00B15985"/>
    <w:rsid w:val="00B173DA"/>
    <w:rsid w:val="00B177D6"/>
    <w:rsid w:val="00B179DE"/>
    <w:rsid w:val="00B17A98"/>
    <w:rsid w:val="00B20CD5"/>
    <w:rsid w:val="00B21DCC"/>
    <w:rsid w:val="00B22709"/>
    <w:rsid w:val="00B22EAA"/>
    <w:rsid w:val="00B23579"/>
    <w:rsid w:val="00B2427B"/>
    <w:rsid w:val="00B24FC5"/>
    <w:rsid w:val="00B25494"/>
    <w:rsid w:val="00B25C7A"/>
    <w:rsid w:val="00B25F37"/>
    <w:rsid w:val="00B3558E"/>
    <w:rsid w:val="00B3610E"/>
    <w:rsid w:val="00B364AC"/>
    <w:rsid w:val="00B36870"/>
    <w:rsid w:val="00B36E34"/>
    <w:rsid w:val="00B37DBF"/>
    <w:rsid w:val="00B37E03"/>
    <w:rsid w:val="00B40D69"/>
    <w:rsid w:val="00B41EF3"/>
    <w:rsid w:val="00B42594"/>
    <w:rsid w:val="00B43488"/>
    <w:rsid w:val="00B435AE"/>
    <w:rsid w:val="00B44422"/>
    <w:rsid w:val="00B46048"/>
    <w:rsid w:val="00B46D56"/>
    <w:rsid w:val="00B46EA0"/>
    <w:rsid w:val="00B500C6"/>
    <w:rsid w:val="00B50218"/>
    <w:rsid w:val="00B50B94"/>
    <w:rsid w:val="00B52B7D"/>
    <w:rsid w:val="00B54AB5"/>
    <w:rsid w:val="00B54C5B"/>
    <w:rsid w:val="00B60CEA"/>
    <w:rsid w:val="00B60F34"/>
    <w:rsid w:val="00B618D8"/>
    <w:rsid w:val="00B631EA"/>
    <w:rsid w:val="00B63E89"/>
    <w:rsid w:val="00B63F68"/>
    <w:rsid w:val="00B64400"/>
    <w:rsid w:val="00B64737"/>
    <w:rsid w:val="00B66BF6"/>
    <w:rsid w:val="00B66F50"/>
    <w:rsid w:val="00B67207"/>
    <w:rsid w:val="00B67260"/>
    <w:rsid w:val="00B715AC"/>
    <w:rsid w:val="00B71F51"/>
    <w:rsid w:val="00B722B9"/>
    <w:rsid w:val="00B72319"/>
    <w:rsid w:val="00B72418"/>
    <w:rsid w:val="00B731D3"/>
    <w:rsid w:val="00B733FF"/>
    <w:rsid w:val="00B7546C"/>
    <w:rsid w:val="00B76EB2"/>
    <w:rsid w:val="00B77030"/>
    <w:rsid w:val="00B80527"/>
    <w:rsid w:val="00B82D53"/>
    <w:rsid w:val="00B839A3"/>
    <w:rsid w:val="00B83A12"/>
    <w:rsid w:val="00B83CD0"/>
    <w:rsid w:val="00B842C2"/>
    <w:rsid w:val="00B8481E"/>
    <w:rsid w:val="00B853D2"/>
    <w:rsid w:val="00B85B61"/>
    <w:rsid w:val="00B87366"/>
    <w:rsid w:val="00B87E13"/>
    <w:rsid w:val="00B87F6D"/>
    <w:rsid w:val="00B902BD"/>
    <w:rsid w:val="00B903DB"/>
    <w:rsid w:val="00B918A5"/>
    <w:rsid w:val="00B91F28"/>
    <w:rsid w:val="00B923F4"/>
    <w:rsid w:val="00B93051"/>
    <w:rsid w:val="00B9604F"/>
    <w:rsid w:val="00B963A5"/>
    <w:rsid w:val="00B97E60"/>
    <w:rsid w:val="00BA24E2"/>
    <w:rsid w:val="00BA5BFB"/>
    <w:rsid w:val="00BA6414"/>
    <w:rsid w:val="00BA79E3"/>
    <w:rsid w:val="00BB2215"/>
    <w:rsid w:val="00BB3F80"/>
    <w:rsid w:val="00BB409D"/>
    <w:rsid w:val="00BB636E"/>
    <w:rsid w:val="00BB68C4"/>
    <w:rsid w:val="00BB6E11"/>
    <w:rsid w:val="00BC02C5"/>
    <w:rsid w:val="00BC082F"/>
    <w:rsid w:val="00BC0A70"/>
    <w:rsid w:val="00BC1122"/>
    <w:rsid w:val="00BC1FB5"/>
    <w:rsid w:val="00BC25F5"/>
    <w:rsid w:val="00BC424E"/>
    <w:rsid w:val="00BC4DF9"/>
    <w:rsid w:val="00BC62A6"/>
    <w:rsid w:val="00BC65FE"/>
    <w:rsid w:val="00BC6686"/>
    <w:rsid w:val="00BC6DDA"/>
    <w:rsid w:val="00BD1E9E"/>
    <w:rsid w:val="00BD29DF"/>
    <w:rsid w:val="00BD2A39"/>
    <w:rsid w:val="00BD2E80"/>
    <w:rsid w:val="00BD2F57"/>
    <w:rsid w:val="00BD33F0"/>
    <w:rsid w:val="00BD4FF5"/>
    <w:rsid w:val="00BD68F1"/>
    <w:rsid w:val="00BE02F8"/>
    <w:rsid w:val="00BE11B8"/>
    <w:rsid w:val="00BE1CE6"/>
    <w:rsid w:val="00BE394A"/>
    <w:rsid w:val="00BE395E"/>
    <w:rsid w:val="00BE4E25"/>
    <w:rsid w:val="00BE5961"/>
    <w:rsid w:val="00BE6678"/>
    <w:rsid w:val="00BE6CB3"/>
    <w:rsid w:val="00BE7BB3"/>
    <w:rsid w:val="00BF00C6"/>
    <w:rsid w:val="00BF0CDB"/>
    <w:rsid w:val="00BF1FAB"/>
    <w:rsid w:val="00BF382F"/>
    <w:rsid w:val="00BF390F"/>
    <w:rsid w:val="00BF3B42"/>
    <w:rsid w:val="00BF4667"/>
    <w:rsid w:val="00BF529C"/>
    <w:rsid w:val="00BF53F9"/>
    <w:rsid w:val="00BF6E77"/>
    <w:rsid w:val="00BF6FD6"/>
    <w:rsid w:val="00BF768C"/>
    <w:rsid w:val="00BF7BBE"/>
    <w:rsid w:val="00BF7FF0"/>
    <w:rsid w:val="00C01749"/>
    <w:rsid w:val="00C03644"/>
    <w:rsid w:val="00C062BF"/>
    <w:rsid w:val="00C066E1"/>
    <w:rsid w:val="00C07B09"/>
    <w:rsid w:val="00C12502"/>
    <w:rsid w:val="00C1266C"/>
    <w:rsid w:val="00C130AC"/>
    <w:rsid w:val="00C13251"/>
    <w:rsid w:val="00C13439"/>
    <w:rsid w:val="00C14AB8"/>
    <w:rsid w:val="00C14FD2"/>
    <w:rsid w:val="00C15728"/>
    <w:rsid w:val="00C15936"/>
    <w:rsid w:val="00C1646E"/>
    <w:rsid w:val="00C166D1"/>
    <w:rsid w:val="00C17550"/>
    <w:rsid w:val="00C17932"/>
    <w:rsid w:val="00C17C7A"/>
    <w:rsid w:val="00C204E0"/>
    <w:rsid w:val="00C22B27"/>
    <w:rsid w:val="00C23E7F"/>
    <w:rsid w:val="00C2437B"/>
    <w:rsid w:val="00C24BF0"/>
    <w:rsid w:val="00C263B4"/>
    <w:rsid w:val="00C2640F"/>
    <w:rsid w:val="00C27209"/>
    <w:rsid w:val="00C27523"/>
    <w:rsid w:val="00C30412"/>
    <w:rsid w:val="00C30F01"/>
    <w:rsid w:val="00C322C6"/>
    <w:rsid w:val="00C33A90"/>
    <w:rsid w:val="00C33FAF"/>
    <w:rsid w:val="00C3424A"/>
    <w:rsid w:val="00C35F64"/>
    <w:rsid w:val="00C362BE"/>
    <w:rsid w:val="00C36578"/>
    <w:rsid w:val="00C3754E"/>
    <w:rsid w:val="00C376D0"/>
    <w:rsid w:val="00C37BDF"/>
    <w:rsid w:val="00C40105"/>
    <w:rsid w:val="00C40AA5"/>
    <w:rsid w:val="00C40ADB"/>
    <w:rsid w:val="00C40CD2"/>
    <w:rsid w:val="00C41FC0"/>
    <w:rsid w:val="00C44193"/>
    <w:rsid w:val="00C44CC2"/>
    <w:rsid w:val="00C458CC"/>
    <w:rsid w:val="00C46713"/>
    <w:rsid w:val="00C46F70"/>
    <w:rsid w:val="00C476D0"/>
    <w:rsid w:val="00C51DB5"/>
    <w:rsid w:val="00C53594"/>
    <w:rsid w:val="00C5453F"/>
    <w:rsid w:val="00C55BA3"/>
    <w:rsid w:val="00C5622C"/>
    <w:rsid w:val="00C60739"/>
    <w:rsid w:val="00C64A8F"/>
    <w:rsid w:val="00C6529C"/>
    <w:rsid w:val="00C65E13"/>
    <w:rsid w:val="00C65F16"/>
    <w:rsid w:val="00C66052"/>
    <w:rsid w:val="00C671BE"/>
    <w:rsid w:val="00C67C08"/>
    <w:rsid w:val="00C728B4"/>
    <w:rsid w:val="00C72EB1"/>
    <w:rsid w:val="00C73EC0"/>
    <w:rsid w:val="00C7427E"/>
    <w:rsid w:val="00C773CF"/>
    <w:rsid w:val="00C808E7"/>
    <w:rsid w:val="00C80C2A"/>
    <w:rsid w:val="00C81AE3"/>
    <w:rsid w:val="00C836E3"/>
    <w:rsid w:val="00C8539E"/>
    <w:rsid w:val="00C8546E"/>
    <w:rsid w:val="00C86577"/>
    <w:rsid w:val="00C900E3"/>
    <w:rsid w:val="00C92E07"/>
    <w:rsid w:val="00C94942"/>
    <w:rsid w:val="00C94FF1"/>
    <w:rsid w:val="00C95B45"/>
    <w:rsid w:val="00C9634E"/>
    <w:rsid w:val="00C96868"/>
    <w:rsid w:val="00C96A50"/>
    <w:rsid w:val="00C9771B"/>
    <w:rsid w:val="00CA03AC"/>
    <w:rsid w:val="00CA0416"/>
    <w:rsid w:val="00CA18A8"/>
    <w:rsid w:val="00CA2302"/>
    <w:rsid w:val="00CA2B7B"/>
    <w:rsid w:val="00CA3E76"/>
    <w:rsid w:val="00CA5717"/>
    <w:rsid w:val="00CA6029"/>
    <w:rsid w:val="00CA6A49"/>
    <w:rsid w:val="00CA7CFB"/>
    <w:rsid w:val="00CA7F1F"/>
    <w:rsid w:val="00CB1375"/>
    <w:rsid w:val="00CB43F2"/>
    <w:rsid w:val="00CB775D"/>
    <w:rsid w:val="00CC09F1"/>
    <w:rsid w:val="00CC415F"/>
    <w:rsid w:val="00CC560B"/>
    <w:rsid w:val="00CC5B52"/>
    <w:rsid w:val="00CC60F0"/>
    <w:rsid w:val="00CC65C6"/>
    <w:rsid w:val="00CC6A10"/>
    <w:rsid w:val="00CC75E2"/>
    <w:rsid w:val="00CD1053"/>
    <w:rsid w:val="00CD11F0"/>
    <w:rsid w:val="00CD1B69"/>
    <w:rsid w:val="00CD2105"/>
    <w:rsid w:val="00CD29A5"/>
    <w:rsid w:val="00CD3479"/>
    <w:rsid w:val="00CD3AD1"/>
    <w:rsid w:val="00CD412F"/>
    <w:rsid w:val="00CD4685"/>
    <w:rsid w:val="00CD46EB"/>
    <w:rsid w:val="00CD5063"/>
    <w:rsid w:val="00CD5D44"/>
    <w:rsid w:val="00CD7CFA"/>
    <w:rsid w:val="00CD7EBF"/>
    <w:rsid w:val="00CE04B6"/>
    <w:rsid w:val="00CE25C8"/>
    <w:rsid w:val="00CE29E1"/>
    <w:rsid w:val="00CE3107"/>
    <w:rsid w:val="00CE335F"/>
    <w:rsid w:val="00CE3392"/>
    <w:rsid w:val="00CE762D"/>
    <w:rsid w:val="00CF3894"/>
    <w:rsid w:val="00CF53B9"/>
    <w:rsid w:val="00CF573E"/>
    <w:rsid w:val="00D00DEB"/>
    <w:rsid w:val="00D00FB0"/>
    <w:rsid w:val="00D011B9"/>
    <w:rsid w:val="00D01B68"/>
    <w:rsid w:val="00D01CB3"/>
    <w:rsid w:val="00D02913"/>
    <w:rsid w:val="00D029AD"/>
    <w:rsid w:val="00D03197"/>
    <w:rsid w:val="00D0406F"/>
    <w:rsid w:val="00D056F1"/>
    <w:rsid w:val="00D05F9D"/>
    <w:rsid w:val="00D06242"/>
    <w:rsid w:val="00D062E4"/>
    <w:rsid w:val="00D07B53"/>
    <w:rsid w:val="00D10777"/>
    <w:rsid w:val="00D11171"/>
    <w:rsid w:val="00D1242C"/>
    <w:rsid w:val="00D12C16"/>
    <w:rsid w:val="00D14405"/>
    <w:rsid w:val="00D14A62"/>
    <w:rsid w:val="00D2086B"/>
    <w:rsid w:val="00D208E2"/>
    <w:rsid w:val="00D2135E"/>
    <w:rsid w:val="00D2228C"/>
    <w:rsid w:val="00D22F3C"/>
    <w:rsid w:val="00D23DB6"/>
    <w:rsid w:val="00D24708"/>
    <w:rsid w:val="00D25FFA"/>
    <w:rsid w:val="00D274B4"/>
    <w:rsid w:val="00D27F7B"/>
    <w:rsid w:val="00D30C97"/>
    <w:rsid w:val="00D31DA5"/>
    <w:rsid w:val="00D346EC"/>
    <w:rsid w:val="00D37728"/>
    <w:rsid w:val="00D41754"/>
    <w:rsid w:val="00D420AA"/>
    <w:rsid w:val="00D429E6"/>
    <w:rsid w:val="00D430F6"/>
    <w:rsid w:val="00D43E35"/>
    <w:rsid w:val="00D43FE6"/>
    <w:rsid w:val="00D441CC"/>
    <w:rsid w:val="00D45173"/>
    <w:rsid w:val="00D451EE"/>
    <w:rsid w:val="00D4613E"/>
    <w:rsid w:val="00D4671D"/>
    <w:rsid w:val="00D50BF7"/>
    <w:rsid w:val="00D51A95"/>
    <w:rsid w:val="00D52C95"/>
    <w:rsid w:val="00D557B1"/>
    <w:rsid w:val="00D55B5D"/>
    <w:rsid w:val="00D56BDF"/>
    <w:rsid w:val="00D57469"/>
    <w:rsid w:val="00D57C41"/>
    <w:rsid w:val="00D57EF6"/>
    <w:rsid w:val="00D6043E"/>
    <w:rsid w:val="00D60568"/>
    <w:rsid w:val="00D62352"/>
    <w:rsid w:val="00D624C6"/>
    <w:rsid w:val="00D62CA5"/>
    <w:rsid w:val="00D63E03"/>
    <w:rsid w:val="00D64C2E"/>
    <w:rsid w:val="00D64C33"/>
    <w:rsid w:val="00D653BB"/>
    <w:rsid w:val="00D668F1"/>
    <w:rsid w:val="00D66CED"/>
    <w:rsid w:val="00D66DDF"/>
    <w:rsid w:val="00D66FD5"/>
    <w:rsid w:val="00D706F1"/>
    <w:rsid w:val="00D70C7A"/>
    <w:rsid w:val="00D722DC"/>
    <w:rsid w:val="00D731AF"/>
    <w:rsid w:val="00D73931"/>
    <w:rsid w:val="00D74278"/>
    <w:rsid w:val="00D74BFD"/>
    <w:rsid w:val="00D7788C"/>
    <w:rsid w:val="00D803A8"/>
    <w:rsid w:val="00D81488"/>
    <w:rsid w:val="00D81D38"/>
    <w:rsid w:val="00D81D96"/>
    <w:rsid w:val="00D8470F"/>
    <w:rsid w:val="00D8471A"/>
    <w:rsid w:val="00D87993"/>
    <w:rsid w:val="00D902B8"/>
    <w:rsid w:val="00D91488"/>
    <w:rsid w:val="00D91B41"/>
    <w:rsid w:val="00D935F9"/>
    <w:rsid w:val="00D97A6B"/>
    <w:rsid w:val="00D97D54"/>
    <w:rsid w:val="00DA0701"/>
    <w:rsid w:val="00DA10A8"/>
    <w:rsid w:val="00DA149A"/>
    <w:rsid w:val="00DA155A"/>
    <w:rsid w:val="00DA23E1"/>
    <w:rsid w:val="00DA2DD4"/>
    <w:rsid w:val="00DA3635"/>
    <w:rsid w:val="00DA39D2"/>
    <w:rsid w:val="00DA40A1"/>
    <w:rsid w:val="00DA56BB"/>
    <w:rsid w:val="00DA5DE1"/>
    <w:rsid w:val="00DA6923"/>
    <w:rsid w:val="00DB1A8F"/>
    <w:rsid w:val="00DB1E08"/>
    <w:rsid w:val="00DB24D0"/>
    <w:rsid w:val="00DB2973"/>
    <w:rsid w:val="00DB324A"/>
    <w:rsid w:val="00DB48E0"/>
    <w:rsid w:val="00DB4E7D"/>
    <w:rsid w:val="00DB7A08"/>
    <w:rsid w:val="00DC0C01"/>
    <w:rsid w:val="00DC1B56"/>
    <w:rsid w:val="00DC2129"/>
    <w:rsid w:val="00DC30CA"/>
    <w:rsid w:val="00DC3C72"/>
    <w:rsid w:val="00DC4A70"/>
    <w:rsid w:val="00DC4DE0"/>
    <w:rsid w:val="00DC6570"/>
    <w:rsid w:val="00DC66CE"/>
    <w:rsid w:val="00DC7252"/>
    <w:rsid w:val="00DD0CF8"/>
    <w:rsid w:val="00DD1B1E"/>
    <w:rsid w:val="00DD3C5E"/>
    <w:rsid w:val="00DD47F6"/>
    <w:rsid w:val="00DD4B9C"/>
    <w:rsid w:val="00DD4E60"/>
    <w:rsid w:val="00DD7155"/>
    <w:rsid w:val="00DD72DD"/>
    <w:rsid w:val="00DD768B"/>
    <w:rsid w:val="00DE05D5"/>
    <w:rsid w:val="00DE19DD"/>
    <w:rsid w:val="00DE1A1A"/>
    <w:rsid w:val="00DE1E1A"/>
    <w:rsid w:val="00DE287A"/>
    <w:rsid w:val="00DE3F78"/>
    <w:rsid w:val="00DE64B7"/>
    <w:rsid w:val="00DE7505"/>
    <w:rsid w:val="00DE78B6"/>
    <w:rsid w:val="00DE79D9"/>
    <w:rsid w:val="00DE7AD1"/>
    <w:rsid w:val="00DE7B0B"/>
    <w:rsid w:val="00DF080E"/>
    <w:rsid w:val="00DF12AD"/>
    <w:rsid w:val="00DF1E19"/>
    <w:rsid w:val="00DF1FBB"/>
    <w:rsid w:val="00DF25C3"/>
    <w:rsid w:val="00DF2F58"/>
    <w:rsid w:val="00DF3CDB"/>
    <w:rsid w:val="00DF4F1E"/>
    <w:rsid w:val="00DF5504"/>
    <w:rsid w:val="00DF6017"/>
    <w:rsid w:val="00E0039A"/>
    <w:rsid w:val="00E02DBC"/>
    <w:rsid w:val="00E038B6"/>
    <w:rsid w:val="00E03DB2"/>
    <w:rsid w:val="00E03EBC"/>
    <w:rsid w:val="00E03EBE"/>
    <w:rsid w:val="00E04062"/>
    <w:rsid w:val="00E0493A"/>
    <w:rsid w:val="00E049A2"/>
    <w:rsid w:val="00E04A7D"/>
    <w:rsid w:val="00E0504D"/>
    <w:rsid w:val="00E058D1"/>
    <w:rsid w:val="00E063C6"/>
    <w:rsid w:val="00E1103A"/>
    <w:rsid w:val="00E1484D"/>
    <w:rsid w:val="00E1536F"/>
    <w:rsid w:val="00E15688"/>
    <w:rsid w:val="00E156DB"/>
    <w:rsid w:val="00E16FA8"/>
    <w:rsid w:val="00E1734B"/>
    <w:rsid w:val="00E17726"/>
    <w:rsid w:val="00E17910"/>
    <w:rsid w:val="00E2003B"/>
    <w:rsid w:val="00E20257"/>
    <w:rsid w:val="00E203C2"/>
    <w:rsid w:val="00E20626"/>
    <w:rsid w:val="00E21460"/>
    <w:rsid w:val="00E21FFD"/>
    <w:rsid w:val="00E2297C"/>
    <w:rsid w:val="00E232D6"/>
    <w:rsid w:val="00E242AB"/>
    <w:rsid w:val="00E24831"/>
    <w:rsid w:val="00E279D8"/>
    <w:rsid w:val="00E27E3C"/>
    <w:rsid w:val="00E3094D"/>
    <w:rsid w:val="00E319B1"/>
    <w:rsid w:val="00E33302"/>
    <w:rsid w:val="00E3337E"/>
    <w:rsid w:val="00E336C1"/>
    <w:rsid w:val="00E3693C"/>
    <w:rsid w:val="00E40ED4"/>
    <w:rsid w:val="00E4293D"/>
    <w:rsid w:val="00E44480"/>
    <w:rsid w:val="00E44E0D"/>
    <w:rsid w:val="00E44ED8"/>
    <w:rsid w:val="00E46B74"/>
    <w:rsid w:val="00E471EC"/>
    <w:rsid w:val="00E50715"/>
    <w:rsid w:val="00E51CA4"/>
    <w:rsid w:val="00E5492F"/>
    <w:rsid w:val="00E54CAB"/>
    <w:rsid w:val="00E558DF"/>
    <w:rsid w:val="00E56BB7"/>
    <w:rsid w:val="00E62DEF"/>
    <w:rsid w:val="00E641D3"/>
    <w:rsid w:val="00E64739"/>
    <w:rsid w:val="00E70131"/>
    <w:rsid w:val="00E70A86"/>
    <w:rsid w:val="00E72A53"/>
    <w:rsid w:val="00E76857"/>
    <w:rsid w:val="00E76D4C"/>
    <w:rsid w:val="00E777EC"/>
    <w:rsid w:val="00E77A1A"/>
    <w:rsid w:val="00E8034F"/>
    <w:rsid w:val="00E80F06"/>
    <w:rsid w:val="00E80FCD"/>
    <w:rsid w:val="00E81AEB"/>
    <w:rsid w:val="00E81F6E"/>
    <w:rsid w:val="00E82325"/>
    <w:rsid w:val="00E827F5"/>
    <w:rsid w:val="00E8482F"/>
    <w:rsid w:val="00E853F6"/>
    <w:rsid w:val="00E85FD9"/>
    <w:rsid w:val="00E911A9"/>
    <w:rsid w:val="00E93F93"/>
    <w:rsid w:val="00E949C6"/>
    <w:rsid w:val="00E96CB2"/>
    <w:rsid w:val="00E97418"/>
    <w:rsid w:val="00EA0021"/>
    <w:rsid w:val="00EA01EF"/>
    <w:rsid w:val="00EA1B78"/>
    <w:rsid w:val="00EA24C1"/>
    <w:rsid w:val="00EA2666"/>
    <w:rsid w:val="00EA436D"/>
    <w:rsid w:val="00EA4AAE"/>
    <w:rsid w:val="00EA4E21"/>
    <w:rsid w:val="00EA4E55"/>
    <w:rsid w:val="00EA7C10"/>
    <w:rsid w:val="00EA7F2F"/>
    <w:rsid w:val="00EB07AA"/>
    <w:rsid w:val="00EB29C3"/>
    <w:rsid w:val="00EB2F77"/>
    <w:rsid w:val="00EB4A34"/>
    <w:rsid w:val="00EB74E4"/>
    <w:rsid w:val="00EB75E5"/>
    <w:rsid w:val="00EB7865"/>
    <w:rsid w:val="00EB7C7A"/>
    <w:rsid w:val="00EC00DE"/>
    <w:rsid w:val="00EC08A8"/>
    <w:rsid w:val="00EC2371"/>
    <w:rsid w:val="00EC2654"/>
    <w:rsid w:val="00EC30E1"/>
    <w:rsid w:val="00EC3160"/>
    <w:rsid w:val="00EC3A79"/>
    <w:rsid w:val="00EC4498"/>
    <w:rsid w:val="00EC669A"/>
    <w:rsid w:val="00EC78F8"/>
    <w:rsid w:val="00ED0A9F"/>
    <w:rsid w:val="00ED1231"/>
    <w:rsid w:val="00ED16A2"/>
    <w:rsid w:val="00ED172A"/>
    <w:rsid w:val="00ED180A"/>
    <w:rsid w:val="00ED2332"/>
    <w:rsid w:val="00ED24BA"/>
    <w:rsid w:val="00ED2ED9"/>
    <w:rsid w:val="00ED374A"/>
    <w:rsid w:val="00ED4CD7"/>
    <w:rsid w:val="00ED55C3"/>
    <w:rsid w:val="00ED5E1D"/>
    <w:rsid w:val="00ED5FAB"/>
    <w:rsid w:val="00ED73EA"/>
    <w:rsid w:val="00EE0A23"/>
    <w:rsid w:val="00EE33AE"/>
    <w:rsid w:val="00EE3857"/>
    <w:rsid w:val="00EE41C8"/>
    <w:rsid w:val="00EE6129"/>
    <w:rsid w:val="00EF132A"/>
    <w:rsid w:val="00EF1B4A"/>
    <w:rsid w:val="00EF4BCB"/>
    <w:rsid w:val="00F000E2"/>
    <w:rsid w:val="00F01F40"/>
    <w:rsid w:val="00F0616A"/>
    <w:rsid w:val="00F06B25"/>
    <w:rsid w:val="00F06D4A"/>
    <w:rsid w:val="00F0750B"/>
    <w:rsid w:val="00F07C89"/>
    <w:rsid w:val="00F10947"/>
    <w:rsid w:val="00F1127D"/>
    <w:rsid w:val="00F11D9F"/>
    <w:rsid w:val="00F14BEC"/>
    <w:rsid w:val="00F14EC0"/>
    <w:rsid w:val="00F15274"/>
    <w:rsid w:val="00F16248"/>
    <w:rsid w:val="00F16919"/>
    <w:rsid w:val="00F16CF4"/>
    <w:rsid w:val="00F20B45"/>
    <w:rsid w:val="00F225C5"/>
    <w:rsid w:val="00F22C97"/>
    <w:rsid w:val="00F22D24"/>
    <w:rsid w:val="00F2314A"/>
    <w:rsid w:val="00F2587A"/>
    <w:rsid w:val="00F25FDA"/>
    <w:rsid w:val="00F26AC2"/>
    <w:rsid w:val="00F27051"/>
    <w:rsid w:val="00F270F7"/>
    <w:rsid w:val="00F301CF"/>
    <w:rsid w:val="00F30AB1"/>
    <w:rsid w:val="00F30C35"/>
    <w:rsid w:val="00F31499"/>
    <w:rsid w:val="00F314F5"/>
    <w:rsid w:val="00F31CFC"/>
    <w:rsid w:val="00F331E1"/>
    <w:rsid w:val="00F34AB5"/>
    <w:rsid w:val="00F36DFC"/>
    <w:rsid w:val="00F3715D"/>
    <w:rsid w:val="00F401D8"/>
    <w:rsid w:val="00F40840"/>
    <w:rsid w:val="00F41EE4"/>
    <w:rsid w:val="00F420C8"/>
    <w:rsid w:val="00F4290F"/>
    <w:rsid w:val="00F42A4C"/>
    <w:rsid w:val="00F440DF"/>
    <w:rsid w:val="00F449C7"/>
    <w:rsid w:val="00F44FDE"/>
    <w:rsid w:val="00F451A7"/>
    <w:rsid w:val="00F45A05"/>
    <w:rsid w:val="00F46501"/>
    <w:rsid w:val="00F509A1"/>
    <w:rsid w:val="00F51A33"/>
    <w:rsid w:val="00F526BA"/>
    <w:rsid w:val="00F52F95"/>
    <w:rsid w:val="00F53B04"/>
    <w:rsid w:val="00F5415B"/>
    <w:rsid w:val="00F551FC"/>
    <w:rsid w:val="00F55E9F"/>
    <w:rsid w:val="00F574D1"/>
    <w:rsid w:val="00F5757F"/>
    <w:rsid w:val="00F604DE"/>
    <w:rsid w:val="00F60CDF"/>
    <w:rsid w:val="00F62421"/>
    <w:rsid w:val="00F626F6"/>
    <w:rsid w:val="00F6287C"/>
    <w:rsid w:val="00F63454"/>
    <w:rsid w:val="00F63904"/>
    <w:rsid w:val="00F640F9"/>
    <w:rsid w:val="00F64296"/>
    <w:rsid w:val="00F64653"/>
    <w:rsid w:val="00F673DF"/>
    <w:rsid w:val="00F674FE"/>
    <w:rsid w:val="00F71823"/>
    <w:rsid w:val="00F72483"/>
    <w:rsid w:val="00F73626"/>
    <w:rsid w:val="00F73EA0"/>
    <w:rsid w:val="00F74DB8"/>
    <w:rsid w:val="00F75FBE"/>
    <w:rsid w:val="00F760D6"/>
    <w:rsid w:val="00F76675"/>
    <w:rsid w:val="00F80C4A"/>
    <w:rsid w:val="00F8327B"/>
    <w:rsid w:val="00F83AD6"/>
    <w:rsid w:val="00F84550"/>
    <w:rsid w:val="00F8495B"/>
    <w:rsid w:val="00F85F02"/>
    <w:rsid w:val="00F86BEF"/>
    <w:rsid w:val="00F8790F"/>
    <w:rsid w:val="00F90043"/>
    <w:rsid w:val="00F91203"/>
    <w:rsid w:val="00F94DD7"/>
    <w:rsid w:val="00F95511"/>
    <w:rsid w:val="00F95EDF"/>
    <w:rsid w:val="00F97381"/>
    <w:rsid w:val="00F97CE8"/>
    <w:rsid w:val="00F97CEB"/>
    <w:rsid w:val="00FA0144"/>
    <w:rsid w:val="00FA01D1"/>
    <w:rsid w:val="00FA04FC"/>
    <w:rsid w:val="00FA0516"/>
    <w:rsid w:val="00FA18E1"/>
    <w:rsid w:val="00FA19B6"/>
    <w:rsid w:val="00FA1DC1"/>
    <w:rsid w:val="00FA2D0D"/>
    <w:rsid w:val="00FA2E14"/>
    <w:rsid w:val="00FA338C"/>
    <w:rsid w:val="00FA3BA1"/>
    <w:rsid w:val="00FA47B6"/>
    <w:rsid w:val="00FA48ED"/>
    <w:rsid w:val="00FA56B0"/>
    <w:rsid w:val="00FA687F"/>
    <w:rsid w:val="00FA6A99"/>
    <w:rsid w:val="00FA6B82"/>
    <w:rsid w:val="00FA6C57"/>
    <w:rsid w:val="00FA6F4D"/>
    <w:rsid w:val="00FB1533"/>
    <w:rsid w:val="00FB29D4"/>
    <w:rsid w:val="00FB34BD"/>
    <w:rsid w:val="00FB388D"/>
    <w:rsid w:val="00FB4430"/>
    <w:rsid w:val="00FB6E0C"/>
    <w:rsid w:val="00FB7512"/>
    <w:rsid w:val="00FB7D43"/>
    <w:rsid w:val="00FC3136"/>
    <w:rsid w:val="00FC499B"/>
    <w:rsid w:val="00FC75D4"/>
    <w:rsid w:val="00FD1C19"/>
    <w:rsid w:val="00FD2FBE"/>
    <w:rsid w:val="00FD31EE"/>
    <w:rsid w:val="00FD3B0B"/>
    <w:rsid w:val="00FD4480"/>
    <w:rsid w:val="00FD4EBB"/>
    <w:rsid w:val="00FD51A3"/>
    <w:rsid w:val="00FD568C"/>
    <w:rsid w:val="00FD5F70"/>
    <w:rsid w:val="00FD7547"/>
    <w:rsid w:val="00FD7845"/>
    <w:rsid w:val="00FD7AB3"/>
    <w:rsid w:val="00FD7BCE"/>
    <w:rsid w:val="00FE09BC"/>
    <w:rsid w:val="00FE0D37"/>
    <w:rsid w:val="00FE0E5A"/>
    <w:rsid w:val="00FE1CCC"/>
    <w:rsid w:val="00FE4FDA"/>
    <w:rsid w:val="00FE669E"/>
    <w:rsid w:val="00FE752B"/>
    <w:rsid w:val="00FF0407"/>
    <w:rsid w:val="00FF2618"/>
    <w:rsid w:val="00FF2684"/>
    <w:rsid w:val="00FF5F5C"/>
    <w:rsid w:val="00FF6847"/>
    <w:rsid w:val="00FF6DBA"/>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4A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D0DA9"/>
    <w:pPr>
      <w:keepNext/>
      <w:keepLines/>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D0DA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6A1903"/>
    <w:pPr>
      <w:tabs>
        <w:tab w:val="left" w:pos="440"/>
        <w:tab w:val="right" w:leader="dot" w:pos="905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CF573E"/>
    <w:pPr>
      <w:ind w:left="720"/>
      <w:contextualSpacing/>
    </w:pPr>
  </w:style>
  <w:style w:type="character" w:customStyle="1" w:styleId="FootnoteTextChar">
    <w:name w:val="Footnote Text Char"/>
    <w:aliases w:val="FSFootnote Text Char,Footnotes Text Char,FSFootnotes Text Char"/>
    <w:basedOn w:val="DefaultParagraphFont"/>
    <w:link w:val="FootnoteText"/>
    <w:rsid w:val="00F14EC0"/>
    <w:rPr>
      <w:rFonts w:ascii="Arial" w:hAnsi="Arial"/>
      <w:lang w:eastAsia="en-US" w:bidi="en-US"/>
    </w:rPr>
  </w:style>
  <w:style w:type="paragraph" w:customStyle="1" w:styleId="FSHeading">
    <w:name w:val="FS Heading"/>
    <w:basedOn w:val="Normal"/>
    <w:link w:val="FSHeadingChar"/>
    <w:qFormat/>
    <w:rsid w:val="00A02DC1"/>
    <w:pPr>
      <w:ind w:left="851" w:hanging="851"/>
    </w:pPr>
    <w:rPr>
      <w:b/>
      <w:szCs w:val="20"/>
      <w:lang w:bidi="ar-SA"/>
    </w:rPr>
  </w:style>
  <w:style w:type="paragraph" w:customStyle="1" w:styleId="FSSubheading">
    <w:name w:val="FS Subheading"/>
    <w:basedOn w:val="Normal"/>
    <w:qFormat/>
    <w:rsid w:val="00A02DC1"/>
    <w:pPr>
      <w:widowControl/>
      <w:ind w:left="851" w:hanging="851"/>
    </w:pPr>
    <w:rPr>
      <w:b/>
      <w:i/>
      <w:szCs w:val="20"/>
      <w:lang w:bidi="ar-SA"/>
    </w:rPr>
  </w:style>
  <w:style w:type="character" w:customStyle="1" w:styleId="FSHeadingChar">
    <w:name w:val="FS Heading Char"/>
    <w:basedOn w:val="DefaultParagraphFont"/>
    <w:link w:val="FSHeading"/>
    <w:rsid w:val="00A02DC1"/>
    <w:rPr>
      <w:rFonts w:ascii="Arial" w:hAnsi="Arial"/>
      <w:b/>
      <w:sz w:val="22"/>
      <w:lang w:eastAsia="en-US"/>
    </w:rPr>
  </w:style>
  <w:style w:type="character" w:customStyle="1" w:styleId="HeaderChar">
    <w:name w:val="Header Char"/>
    <w:aliases w:val="FSHeader Char"/>
    <w:basedOn w:val="DefaultParagraphFont"/>
    <w:link w:val="Header"/>
    <w:uiPriority w:val="99"/>
    <w:rsid w:val="00A02DC1"/>
    <w:rPr>
      <w:rFonts w:ascii="Arial" w:hAnsi="Arial"/>
      <w:sz w:val="22"/>
      <w:szCs w:val="24"/>
      <w:lang w:eastAsia="en-US" w:bidi="en-US"/>
    </w:rPr>
  </w:style>
  <w:style w:type="character" w:customStyle="1" w:styleId="FooterChar">
    <w:name w:val="Footer Char"/>
    <w:aliases w:val="FSFooter Char"/>
    <w:basedOn w:val="DefaultParagraphFont"/>
    <w:link w:val="Footer"/>
    <w:uiPriority w:val="99"/>
    <w:rsid w:val="00A02DC1"/>
    <w:rPr>
      <w:rFonts w:ascii="Arial" w:hAnsi="Arial"/>
      <w:szCs w:val="24"/>
      <w:lang w:eastAsia="en-US" w:bidi="en-US"/>
    </w:rPr>
  </w:style>
  <w:style w:type="paragraph" w:customStyle="1" w:styleId="11aparagraph">
    <w:name w:val="*1.(1)(a) paragraph"/>
    <w:basedOn w:val="Normal"/>
    <w:next w:val="Normal"/>
    <w:rsid w:val="000235A5"/>
    <w:pPr>
      <w:widowControl/>
      <w:ind w:left="2552" w:right="6" w:hanging="851"/>
    </w:pPr>
    <w:rPr>
      <w:rFonts w:ascii="Times New Roman" w:hAnsi="Times New Roman"/>
      <w:sz w:val="24"/>
      <w:szCs w:val="20"/>
      <w:lang w:bidi="ar-SA"/>
    </w:rPr>
  </w:style>
  <w:style w:type="paragraph" w:customStyle="1" w:styleId="FSCtMain">
    <w:name w:val="FSC_t_Main"/>
    <w:aliases w:val="t1_Main"/>
    <w:basedOn w:val="Normal"/>
    <w:rsid w:val="00C37BDF"/>
    <w:pPr>
      <w:tabs>
        <w:tab w:val="left" w:pos="1134"/>
      </w:tabs>
      <w:spacing w:before="120" w:after="120"/>
      <w:ind w:left="1701" w:hanging="1701"/>
    </w:pPr>
    <w:rPr>
      <w:rFonts w:cs="Arial"/>
      <w:iCs/>
      <w:sz w:val="20"/>
      <w:szCs w:val="22"/>
      <w:lang w:val="en-AU" w:eastAsia="en-AU" w:bidi="ar-SA"/>
    </w:rPr>
  </w:style>
  <w:style w:type="paragraph" w:customStyle="1" w:styleId="FSCnMain">
    <w:name w:val="FSC_n_Main"/>
    <w:aliases w:val="n_Main"/>
    <w:basedOn w:val="FSCtPara"/>
    <w:qFormat/>
    <w:rsid w:val="00C37BDF"/>
    <w:rPr>
      <w:iCs w:val="0"/>
      <w:sz w:val="16"/>
      <w:szCs w:val="18"/>
    </w:rPr>
  </w:style>
  <w:style w:type="paragraph" w:customStyle="1" w:styleId="FSCtPara">
    <w:name w:val="FSC_t_Para"/>
    <w:aliases w:val="t2_Para"/>
    <w:basedOn w:val="FSCtMain"/>
    <w:rsid w:val="00C37BDF"/>
    <w:pPr>
      <w:tabs>
        <w:tab w:val="clear" w:pos="1134"/>
        <w:tab w:val="left" w:pos="1701"/>
      </w:tabs>
      <w:spacing w:before="60" w:after="60"/>
      <w:ind w:left="2268" w:hanging="2268"/>
    </w:pPr>
  </w:style>
  <w:style w:type="character" w:styleId="Emphasis">
    <w:name w:val="Emphasis"/>
    <w:basedOn w:val="DefaultParagraphFont"/>
    <w:uiPriority w:val="20"/>
    <w:qFormat/>
    <w:rsid w:val="009106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D0DA9"/>
    <w:pPr>
      <w:keepNext/>
      <w:keepLines/>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D0DA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6A1903"/>
    <w:pPr>
      <w:tabs>
        <w:tab w:val="left" w:pos="440"/>
        <w:tab w:val="right" w:leader="dot" w:pos="905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CF573E"/>
    <w:pPr>
      <w:ind w:left="720"/>
      <w:contextualSpacing/>
    </w:pPr>
  </w:style>
  <w:style w:type="character" w:customStyle="1" w:styleId="FootnoteTextChar">
    <w:name w:val="Footnote Text Char"/>
    <w:aliases w:val="FSFootnote Text Char,Footnotes Text Char,FSFootnotes Text Char"/>
    <w:basedOn w:val="DefaultParagraphFont"/>
    <w:link w:val="FootnoteText"/>
    <w:rsid w:val="00F14EC0"/>
    <w:rPr>
      <w:rFonts w:ascii="Arial" w:hAnsi="Arial"/>
      <w:lang w:eastAsia="en-US" w:bidi="en-US"/>
    </w:rPr>
  </w:style>
  <w:style w:type="paragraph" w:customStyle="1" w:styleId="FSHeading">
    <w:name w:val="FS Heading"/>
    <w:basedOn w:val="Normal"/>
    <w:link w:val="FSHeadingChar"/>
    <w:qFormat/>
    <w:rsid w:val="00A02DC1"/>
    <w:pPr>
      <w:ind w:left="851" w:hanging="851"/>
    </w:pPr>
    <w:rPr>
      <w:b/>
      <w:szCs w:val="20"/>
      <w:lang w:bidi="ar-SA"/>
    </w:rPr>
  </w:style>
  <w:style w:type="paragraph" w:customStyle="1" w:styleId="FSSubheading">
    <w:name w:val="FS Subheading"/>
    <w:basedOn w:val="Normal"/>
    <w:qFormat/>
    <w:rsid w:val="00A02DC1"/>
    <w:pPr>
      <w:widowControl/>
      <w:ind w:left="851" w:hanging="851"/>
    </w:pPr>
    <w:rPr>
      <w:b/>
      <w:i/>
      <w:szCs w:val="20"/>
      <w:lang w:bidi="ar-SA"/>
    </w:rPr>
  </w:style>
  <w:style w:type="character" w:customStyle="1" w:styleId="FSHeadingChar">
    <w:name w:val="FS Heading Char"/>
    <w:basedOn w:val="DefaultParagraphFont"/>
    <w:link w:val="FSHeading"/>
    <w:rsid w:val="00A02DC1"/>
    <w:rPr>
      <w:rFonts w:ascii="Arial" w:hAnsi="Arial"/>
      <w:b/>
      <w:sz w:val="22"/>
      <w:lang w:eastAsia="en-US"/>
    </w:rPr>
  </w:style>
  <w:style w:type="character" w:customStyle="1" w:styleId="HeaderChar">
    <w:name w:val="Header Char"/>
    <w:aliases w:val="FSHeader Char"/>
    <w:basedOn w:val="DefaultParagraphFont"/>
    <w:link w:val="Header"/>
    <w:uiPriority w:val="99"/>
    <w:rsid w:val="00A02DC1"/>
    <w:rPr>
      <w:rFonts w:ascii="Arial" w:hAnsi="Arial"/>
      <w:sz w:val="22"/>
      <w:szCs w:val="24"/>
      <w:lang w:eastAsia="en-US" w:bidi="en-US"/>
    </w:rPr>
  </w:style>
  <w:style w:type="character" w:customStyle="1" w:styleId="FooterChar">
    <w:name w:val="Footer Char"/>
    <w:aliases w:val="FSFooter Char"/>
    <w:basedOn w:val="DefaultParagraphFont"/>
    <w:link w:val="Footer"/>
    <w:uiPriority w:val="99"/>
    <w:rsid w:val="00A02DC1"/>
    <w:rPr>
      <w:rFonts w:ascii="Arial" w:hAnsi="Arial"/>
      <w:szCs w:val="24"/>
      <w:lang w:eastAsia="en-US" w:bidi="en-US"/>
    </w:rPr>
  </w:style>
  <w:style w:type="paragraph" w:customStyle="1" w:styleId="11aparagraph">
    <w:name w:val="*1.(1)(a) paragraph"/>
    <w:basedOn w:val="Normal"/>
    <w:next w:val="Normal"/>
    <w:rsid w:val="000235A5"/>
    <w:pPr>
      <w:widowControl/>
      <w:ind w:left="2552" w:right="6" w:hanging="851"/>
    </w:pPr>
    <w:rPr>
      <w:rFonts w:ascii="Times New Roman" w:hAnsi="Times New Roman"/>
      <w:sz w:val="24"/>
      <w:szCs w:val="20"/>
      <w:lang w:bidi="ar-SA"/>
    </w:rPr>
  </w:style>
  <w:style w:type="paragraph" w:customStyle="1" w:styleId="FSCtMain">
    <w:name w:val="FSC_t_Main"/>
    <w:aliases w:val="t1_Main"/>
    <w:basedOn w:val="Normal"/>
    <w:rsid w:val="00C37BDF"/>
    <w:pPr>
      <w:tabs>
        <w:tab w:val="left" w:pos="1134"/>
      </w:tabs>
      <w:spacing w:before="120" w:after="120"/>
      <w:ind w:left="1701" w:hanging="1701"/>
    </w:pPr>
    <w:rPr>
      <w:rFonts w:cs="Arial"/>
      <w:iCs/>
      <w:sz w:val="20"/>
      <w:szCs w:val="22"/>
      <w:lang w:val="en-AU" w:eastAsia="en-AU" w:bidi="ar-SA"/>
    </w:rPr>
  </w:style>
  <w:style w:type="paragraph" w:customStyle="1" w:styleId="FSCnMain">
    <w:name w:val="FSC_n_Main"/>
    <w:aliases w:val="n_Main"/>
    <w:basedOn w:val="FSCtPara"/>
    <w:qFormat/>
    <w:rsid w:val="00C37BDF"/>
    <w:rPr>
      <w:iCs w:val="0"/>
      <w:sz w:val="16"/>
      <w:szCs w:val="18"/>
    </w:rPr>
  </w:style>
  <w:style w:type="paragraph" w:customStyle="1" w:styleId="FSCtPara">
    <w:name w:val="FSC_t_Para"/>
    <w:aliases w:val="t2_Para"/>
    <w:basedOn w:val="FSCtMain"/>
    <w:rsid w:val="00C37BDF"/>
    <w:pPr>
      <w:tabs>
        <w:tab w:val="clear" w:pos="1134"/>
        <w:tab w:val="left" w:pos="1701"/>
      </w:tabs>
      <w:spacing w:before="60" w:after="60"/>
      <w:ind w:left="2268" w:hanging="2268"/>
    </w:pPr>
  </w:style>
  <w:style w:type="character" w:styleId="Emphasis">
    <w:name w:val="Emphasis"/>
    <w:basedOn w:val="DefaultParagraphFont"/>
    <w:uiPriority w:val="20"/>
    <w:qFormat/>
    <w:rsid w:val="00910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79326">
      <w:bodyDiv w:val="1"/>
      <w:marLeft w:val="0"/>
      <w:marRight w:val="0"/>
      <w:marTop w:val="0"/>
      <w:marBottom w:val="0"/>
      <w:divBdr>
        <w:top w:val="none" w:sz="0" w:space="0" w:color="auto"/>
        <w:left w:val="none" w:sz="0" w:space="0" w:color="auto"/>
        <w:bottom w:val="none" w:sz="0" w:space="0" w:color="auto"/>
        <w:right w:val="none" w:sz="0" w:space="0" w:color="auto"/>
      </w:divBdr>
    </w:div>
    <w:div w:id="601837501">
      <w:bodyDiv w:val="1"/>
      <w:marLeft w:val="0"/>
      <w:marRight w:val="0"/>
      <w:marTop w:val="0"/>
      <w:marBottom w:val="0"/>
      <w:divBdr>
        <w:top w:val="none" w:sz="0" w:space="0" w:color="auto"/>
        <w:left w:val="none" w:sz="0" w:space="0" w:color="auto"/>
        <w:bottom w:val="none" w:sz="0" w:space="0" w:color="auto"/>
        <w:right w:val="none" w:sz="0" w:space="0" w:color="auto"/>
      </w:divBdr>
      <w:divsChild>
        <w:div w:id="2545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61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0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76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5212241">
      <w:bodyDiv w:val="1"/>
      <w:marLeft w:val="0"/>
      <w:marRight w:val="0"/>
      <w:marTop w:val="0"/>
      <w:marBottom w:val="0"/>
      <w:divBdr>
        <w:top w:val="none" w:sz="0" w:space="0" w:color="auto"/>
        <w:left w:val="none" w:sz="0" w:space="0" w:color="auto"/>
        <w:bottom w:val="none" w:sz="0" w:space="0" w:color="auto"/>
        <w:right w:val="none" w:sz="0" w:space="0" w:color="auto"/>
      </w:divBdr>
    </w:div>
    <w:div w:id="164882200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051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foodstandards/changingthecode/documentsforpublicco868.cfm" TargetMode="External"/><Relationship Id="rId25" Type="http://schemas.openxmlformats.org/officeDocument/2006/relationships/fontTable" Target="fontTable.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23" Type="http://schemas.openxmlformats.org/officeDocument/2006/relationships/image" Target="media/image2.emf"/><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Pages/P1024.aspx"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industry/novel/Pages/default.aspx"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fofr/fofrpolicy/pages/default.aspx" TargetMode="External"/><Relationship Id="rId6" Type="http://schemas.openxmlformats.org/officeDocument/2006/relationships/hyperlink" Target="http://www.foodstandards.gov.au/media/Pages/mediareleases/mediareleases2012/26march2012fsanzcons5467.aspx" TargetMode="External"/><Relationship Id="rId5" Type="http://schemas.openxmlformats.org/officeDocument/2006/relationships/hyperlink" Target="http://www.foodsafety.govt.nz/elibrary/industry/nzfood-supplementedfood-standard-2013.pdf"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845152ADA123C64AA1A85A82DA809D32" ma:contentTypeVersion="19" ma:contentTypeDescription="FSANZ Record" ma:contentTypeScope="" ma:versionID="112a3b875687e3d8e6ac0ce7dc07eccb">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02a584fa4afc985b6f09fe339cb01b7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25E8E-15F9-495F-A25E-237706FCCB69}"/>
</file>

<file path=customXml/itemProps2.xml><?xml version="1.0" encoding="utf-8"?>
<ds:datastoreItem xmlns:ds="http://schemas.openxmlformats.org/officeDocument/2006/customXml" ds:itemID="{D49DFE07-8F7D-4AC3-B83B-477BFBE090E6}"/>
</file>

<file path=customXml/itemProps3.xml><?xml version="1.0" encoding="utf-8"?>
<ds:datastoreItem xmlns:ds="http://schemas.openxmlformats.org/officeDocument/2006/customXml" ds:itemID="{9623B4DA-709F-4996-9EE2-0FC506E6B505}"/>
</file>

<file path=customXml/itemProps4.xml><?xml version="1.0" encoding="utf-8"?>
<ds:datastoreItem xmlns:ds="http://schemas.openxmlformats.org/officeDocument/2006/customXml" ds:itemID="{2F7BAE62-6A87-416F-84A9-3ABE8DBD92F3}"/>
</file>

<file path=customXml/itemProps5.xml><?xml version="1.0" encoding="utf-8"?>
<ds:datastoreItem xmlns:ds="http://schemas.openxmlformats.org/officeDocument/2006/customXml" ds:itemID="{E8BF14A7-D8F5-4B7A-95B2-28982A381703}"/>
</file>

<file path=customXml/itemProps6.xml><?xml version="1.0" encoding="utf-8"?>
<ds:datastoreItem xmlns:ds="http://schemas.openxmlformats.org/officeDocument/2006/customXml" ds:itemID="{93332111-2EDB-4A7D-99AD-24725FC3DA4D}"/>
</file>

<file path=docProps/app.xml><?xml version="1.0" encoding="utf-8"?>
<Properties xmlns="http://schemas.openxmlformats.org/officeDocument/2006/extended-properties" xmlns:vt="http://schemas.openxmlformats.org/officeDocument/2006/docPropsVTypes">
  <Template>Normal.dotm</Template>
  <TotalTime>1225</TotalTime>
  <Pages>47</Pages>
  <Words>21230</Words>
  <Characters>120413</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141361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kitejo</dc:creator>
  <cp:lastModifiedBy>humphc</cp:lastModifiedBy>
  <cp:revision>58</cp:revision>
  <cp:lastPrinted>2016-01-20T00:44:00Z</cp:lastPrinted>
  <dcterms:created xsi:type="dcterms:W3CDTF">2015-11-04T02:11:00Z</dcterms:created>
  <dcterms:modified xsi:type="dcterms:W3CDTF">2016-01-20T00:44:00Z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osalClass">
    <vt:lpwstr/>
  </property>
  <property fmtid="{D5CDD505-2E9C-101B-9397-08002B2CF9AE}" pid="3" name="BCS_">
    <vt:lpwstr>7;#Evaluation|43bd8487-b9f6-4055-946c-a118d364275d</vt:lpwstr>
  </property>
  <property fmtid="{D5CDD505-2E9C-101B-9397-08002B2CF9AE}" pid="4" name="ContentTypeId">
    <vt:lpwstr>0x010100FB86A4CA77FAD24FB4C8632D8CBF0C4A</vt:lpwstr>
  </property>
  <property fmtid="{D5CDD505-2E9C-101B-9397-08002B2CF9AE}" pid="5" name="_dlc_DocIdItemGuid">
    <vt:lpwstr>1c2f0eb1-fda4-4886-adad-2025d720c0c1</vt:lpwstr>
  </property>
  <property fmtid="{D5CDD505-2E9C-101B-9397-08002B2CF9AE}" pid="6" name="a41428b017d04df981d58ffdf035d7b8">
    <vt:lpwstr>|e1e32ca4-364d-46d7-813a-d3141d2fc5b3</vt:lpwstr>
  </property>
</Properties>
</file>